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sz w:val="32"/>
          <w:szCs w:val="32"/>
        </w:rPr>
      </w:pPr>
      <w:bookmarkStart w:id="5" w:name="_GoBack"/>
      <w:bookmarkEnd w:id="5"/>
    </w:p>
    <w:p>
      <w:pPr>
        <w:spacing w:line="580" w:lineRule="exact"/>
        <w:jc w:val="left"/>
        <w:rPr>
          <w:rFonts w:ascii="黑体" w:hAnsi="黑体" w:eastAsia="黑体"/>
          <w:sz w:val="32"/>
          <w:szCs w:val="32"/>
        </w:rPr>
      </w:pP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江西省即食黄精和即食玉竹生产许可</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审查规范</w:t>
      </w:r>
    </w:p>
    <w:p>
      <w:pPr>
        <w:spacing w:line="580" w:lineRule="exact"/>
        <w:jc w:val="center"/>
        <w:rPr>
          <w:rFonts w:ascii="仿宋" w:hAnsi="仿宋" w:eastAsia="仿宋" w:cs="仿宋_GB2312"/>
          <w:b/>
          <w:bCs/>
          <w:sz w:val="28"/>
          <w:szCs w:val="28"/>
        </w:rPr>
      </w:pPr>
      <w:r>
        <w:rPr>
          <w:rFonts w:hint="eastAsia" w:ascii="仿宋" w:hAnsi="仿宋" w:eastAsia="仿宋" w:cs="仿宋_GB2312"/>
          <w:b/>
          <w:bCs/>
          <w:sz w:val="28"/>
          <w:szCs w:val="28"/>
        </w:rPr>
        <w:t xml:space="preserve"> </w:t>
      </w:r>
    </w:p>
    <w:p>
      <w:pPr>
        <w:spacing w:line="580" w:lineRule="exact"/>
        <w:jc w:val="center"/>
        <w:rPr>
          <w:rFonts w:ascii="仿宋" w:hAnsi="仿宋" w:eastAsia="仿宋" w:cs="仿宋_GB2312"/>
          <w:b/>
          <w:sz w:val="28"/>
          <w:szCs w:val="28"/>
        </w:rPr>
      </w:pPr>
      <w:r>
        <w:rPr>
          <w:rFonts w:hint="eastAsia" w:ascii="仿宋" w:hAnsi="仿宋" w:eastAsia="仿宋" w:cs="仿宋_GB2312"/>
          <w:b/>
          <w:sz w:val="28"/>
          <w:szCs w:val="28"/>
        </w:rPr>
        <w:t>第一章 总则</w:t>
      </w:r>
    </w:p>
    <w:p>
      <w:pPr>
        <w:spacing w:line="580" w:lineRule="exact"/>
        <w:ind w:firstLine="560" w:firstLineChars="200"/>
        <w:outlineLvl w:val="0"/>
        <w:rPr>
          <w:rFonts w:ascii="仿宋" w:hAnsi="仿宋" w:eastAsia="仿宋" w:cs="仿宋_GB2312"/>
          <w:sz w:val="28"/>
          <w:szCs w:val="28"/>
        </w:rPr>
      </w:pPr>
      <w:r>
        <w:rPr>
          <w:rFonts w:hint="eastAsia" w:ascii="仿宋" w:hAnsi="仿宋" w:eastAsia="仿宋" w:cs="仿宋_GB2312"/>
          <w:sz w:val="28"/>
          <w:szCs w:val="28"/>
        </w:rPr>
        <w:t xml:space="preserve"> </w:t>
      </w:r>
    </w:p>
    <w:p>
      <w:pPr>
        <w:spacing w:line="580" w:lineRule="exact"/>
        <w:ind w:firstLine="562" w:firstLineChars="200"/>
        <w:rPr>
          <w:rFonts w:ascii="仿宋" w:hAnsi="仿宋" w:eastAsia="仿宋"/>
          <w:sz w:val="28"/>
          <w:szCs w:val="28"/>
        </w:rPr>
      </w:pPr>
      <w:r>
        <w:rPr>
          <w:rFonts w:hint="eastAsia" w:ascii="仿宋" w:hAnsi="仿宋" w:eastAsia="仿宋" w:cs="仿宋_GB2312"/>
          <w:b/>
          <w:sz w:val="28"/>
          <w:szCs w:val="28"/>
        </w:rPr>
        <w:t>第一条</w:t>
      </w:r>
      <w:r>
        <w:rPr>
          <w:rFonts w:hint="eastAsia" w:ascii="仿宋" w:hAnsi="仿宋" w:eastAsia="仿宋"/>
          <w:sz w:val="28"/>
          <w:szCs w:val="28"/>
        </w:rPr>
        <w:t xml:space="preserve"> 本规范适用于江西省内即食黄精和即食玉竹的生产许可条件审查。规范中所称即食黄精和即食玉竹，是指以黄精、玉竹为主要原料，经挑选、清洗、配料或不配料、蒸制（多次）、干燥（多次）、切制或不切制、包装等工艺制成的或经挑选、清洗、配料或不配料、炆制、干燥、切制或不切制、蒸制、干燥、包装等工艺制成的可即食产品。本规范不适用于原料直接切制成型、干燥、包装等工艺制成的产品。</w:t>
      </w:r>
    </w:p>
    <w:p>
      <w:pPr>
        <w:spacing w:line="580" w:lineRule="exact"/>
        <w:ind w:firstLine="562" w:firstLineChars="200"/>
        <w:rPr>
          <w:rFonts w:eastAsia="仿宋"/>
          <w:sz w:val="28"/>
          <w:szCs w:val="28"/>
        </w:rPr>
      </w:pPr>
      <w:r>
        <w:rPr>
          <w:rFonts w:ascii="仿宋" w:hAnsi="仿宋" w:eastAsia="仿宋" w:cs="仿宋_GB2312"/>
          <w:b/>
          <w:sz w:val="28"/>
          <w:szCs w:val="28"/>
        </w:rPr>
        <w:t>第二条</w:t>
      </w:r>
      <w:r>
        <w:rPr>
          <w:rFonts w:eastAsia="仿宋"/>
          <w:sz w:val="28"/>
          <w:szCs w:val="28"/>
        </w:rPr>
        <w:t xml:space="preserve"> </w:t>
      </w:r>
      <w:r>
        <w:rPr>
          <w:rFonts w:hAnsi="仿宋" w:eastAsia="仿宋"/>
          <w:sz w:val="28"/>
          <w:szCs w:val="28"/>
        </w:rPr>
        <w:t>即食黄精和即食玉竹生产加工原料黄精指百合科植物滇黄精</w:t>
      </w:r>
      <w:r>
        <w:rPr>
          <w:rFonts w:eastAsia="仿宋"/>
          <w:sz w:val="28"/>
          <w:szCs w:val="28"/>
        </w:rPr>
        <w:t xml:space="preserve"> </w:t>
      </w:r>
      <w:r>
        <w:rPr>
          <w:rFonts w:eastAsia="仿宋"/>
          <w:i/>
          <w:iCs/>
          <w:sz w:val="28"/>
          <w:szCs w:val="28"/>
        </w:rPr>
        <w:t xml:space="preserve">Polygonatum kingianum </w:t>
      </w:r>
      <w:r>
        <w:rPr>
          <w:rFonts w:eastAsia="仿宋"/>
          <w:sz w:val="28"/>
          <w:szCs w:val="28"/>
        </w:rPr>
        <w:t>Coll. et Hemsl</w:t>
      </w:r>
      <w:r>
        <w:rPr>
          <w:rFonts w:eastAsia="仿宋"/>
          <w:i/>
          <w:iCs/>
          <w:sz w:val="28"/>
          <w:szCs w:val="28"/>
        </w:rPr>
        <w:t xml:space="preserve"> .</w:t>
      </w:r>
      <w:r>
        <w:rPr>
          <w:rFonts w:hAnsi="仿宋" w:eastAsia="仿宋"/>
          <w:i/>
          <w:iCs/>
          <w:sz w:val="28"/>
          <w:szCs w:val="28"/>
        </w:rPr>
        <w:t>、</w:t>
      </w:r>
      <w:r>
        <w:rPr>
          <w:rFonts w:hAnsi="仿宋" w:eastAsia="仿宋"/>
          <w:sz w:val="28"/>
          <w:szCs w:val="28"/>
        </w:rPr>
        <w:t>黄精</w:t>
      </w:r>
      <w:r>
        <w:rPr>
          <w:rFonts w:eastAsia="仿宋"/>
          <w:i/>
          <w:iCs/>
          <w:sz w:val="28"/>
          <w:szCs w:val="28"/>
        </w:rPr>
        <w:t xml:space="preserve"> Polygonatum sibiricum Red</w:t>
      </w:r>
      <w:r>
        <w:rPr>
          <w:rFonts w:eastAsia="仿宋"/>
          <w:sz w:val="28"/>
          <w:szCs w:val="28"/>
        </w:rPr>
        <w:t xml:space="preserve"> .</w:t>
      </w:r>
      <w:r>
        <w:rPr>
          <w:rFonts w:hAnsi="仿宋" w:eastAsia="仿宋"/>
          <w:sz w:val="28"/>
          <w:szCs w:val="28"/>
        </w:rPr>
        <w:t>或多花黄精</w:t>
      </w:r>
      <w:r>
        <w:rPr>
          <w:rFonts w:eastAsia="仿宋"/>
          <w:sz w:val="28"/>
          <w:szCs w:val="28"/>
        </w:rPr>
        <w:t xml:space="preserve"> </w:t>
      </w:r>
      <w:r>
        <w:rPr>
          <w:rFonts w:eastAsia="仿宋"/>
          <w:i/>
          <w:iCs/>
          <w:sz w:val="28"/>
          <w:szCs w:val="28"/>
        </w:rPr>
        <w:t>Polygonatum cyrtonema Hua</w:t>
      </w:r>
      <w:r>
        <w:rPr>
          <w:rFonts w:hAnsi="仿宋" w:eastAsia="仿宋"/>
          <w:sz w:val="28"/>
          <w:szCs w:val="28"/>
        </w:rPr>
        <w:t>的根茎；玉竹指百合科植物玉竹</w:t>
      </w:r>
      <w:r>
        <w:rPr>
          <w:rFonts w:eastAsia="仿宋"/>
          <w:i/>
          <w:iCs/>
          <w:sz w:val="28"/>
          <w:szCs w:val="28"/>
        </w:rPr>
        <w:t xml:space="preserve"> Polygonatum odoratum (Mill.)Druce</w:t>
      </w:r>
      <w:r>
        <w:rPr>
          <w:rFonts w:hAnsi="仿宋" w:eastAsia="仿宋"/>
          <w:sz w:val="28"/>
          <w:szCs w:val="28"/>
        </w:rPr>
        <w:t>的根茎。</w:t>
      </w:r>
    </w:p>
    <w:p>
      <w:pPr>
        <w:spacing w:line="580" w:lineRule="exact"/>
        <w:ind w:firstLine="562" w:firstLineChars="200"/>
        <w:rPr>
          <w:rFonts w:ascii="仿宋" w:hAnsi="仿宋" w:eastAsia="仿宋"/>
          <w:sz w:val="28"/>
          <w:szCs w:val="28"/>
        </w:rPr>
      </w:pPr>
      <w:r>
        <w:rPr>
          <w:rFonts w:hint="eastAsia" w:ascii="仿宋" w:hAnsi="仿宋" w:eastAsia="仿宋" w:cs="仿宋_GB2312"/>
          <w:b/>
          <w:sz w:val="28"/>
          <w:szCs w:val="28"/>
        </w:rPr>
        <w:t>第三条</w:t>
      </w:r>
      <w:r>
        <w:rPr>
          <w:rFonts w:hint="eastAsia" w:ascii="仿宋" w:hAnsi="仿宋" w:eastAsia="仿宋"/>
          <w:sz w:val="28"/>
          <w:szCs w:val="28"/>
        </w:rPr>
        <w:t xml:space="preserve"> 即食黄精和即食玉竹食品类别归类为其他食品，其类别名称为：其他食品（即食黄精、即食玉竹），类别编号为3101。即食黄精和即食玉竹生产许可食品类别、类别名称、品种明细及执行标准等见表一。</w:t>
      </w:r>
    </w:p>
    <w:p>
      <w:pPr>
        <w:spacing w:line="500" w:lineRule="exact"/>
        <w:ind w:firstLine="560" w:firstLineChars="200"/>
        <w:rPr>
          <w:rFonts w:ascii="仿宋" w:hAnsi="仿宋" w:eastAsia="仿宋"/>
          <w:sz w:val="28"/>
          <w:szCs w:val="28"/>
        </w:rPr>
      </w:pPr>
      <w:r>
        <w:rPr>
          <w:rFonts w:ascii="仿宋" w:hAnsi="仿宋" w:eastAsia="仿宋"/>
          <w:sz w:val="28"/>
          <w:szCs w:val="28"/>
        </w:rPr>
        <w:t>表</w:t>
      </w:r>
      <w:r>
        <w:rPr>
          <w:rFonts w:hint="eastAsia" w:ascii="仿宋" w:hAnsi="仿宋" w:eastAsia="仿宋"/>
          <w:sz w:val="28"/>
          <w:szCs w:val="28"/>
        </w:rPr>
        <w:t>一 即食黄精和即食玉竹</w:t>
      </w:r>
      <w:r>
        <w:rPr>
          <w:rFonts w:ascii="仿宋" w:hAnsi="仿宋" w:eastAsia="仿宋"/>
          <w:sz w:val="28"/>
          <w:szCs w:val="28"/>
        </w:rPr>
        <w:t>食品生产许可食品类别目录列表</w:t>
      </w:r>
    </w:p>
    <w:p>
      <w:pPr>
        <w:spacing w:line="500" w:lineRule="exact"/>
        <w:ind w:firstLine="560" w:firstLineChars="200"/>
        <w:rPr>
          <w:rFonts w:ascii="仿宋" w:hAnsi="仿宋" w:eastAsia="仿宋"/>
          <w:sz w:val="28"/>
          <w:szCs w:val="28"/>
        </w:rPr>
      </w:pPr>
    </w:p>
    <w:tbl>
      <w:tblPr>
        <w:tblStyle w:val="7"/>
        <w:tblW w:w="0" w:type="auto"/>
        <w:jc w:val="center"/>
        <w:tblLayout w:type="fixed"/>
        <w:tblCellMar>
          <w:top w:w="0" w:type="dxa"/>
          <w:left w:w="108" w:type="dxa"/>
          <w:bottom w:w="0" w:type="dxa"/>
          <w:right w:w="108" w:type="dxa"/>
        </w:tblCellMar>
      </w:tblPr>
      <w:tblGrid>
        <w:gridCol w:w="812"/>
        <w:gridCol w:w="851"/>
        <w:gridCol w:w="895"/>
        <w:gridCol w:w="3118"/>
        <w:gridCol w:w="1657"/>
        <w:gridCol w:w="2312"/>
      </w:tblGrid>
      <w:tr>
        <w:tblPrEx>
          <w:tblCellMar>
            <w:top w:w="0" w:type="dxa"/>
            <w:left w:w="108" w:type="dxa"/>
            <w:bottom w:w="0" w:type="dxa"/>
            <w:right w:w="108" w:type="dxa"/>
          </w:tblCellMar>
        </w:tblPrEx>
        <w:trPr>
          <w:trHeight w:val="476"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ascii="仿宋" w:hAnsi="仿宋" w:eastAsia="仿宋"/>
                <w:sz w:val="28"/>
                <w:szCs w:val="28"/>
              </w:rPr>
              <w:t>食品</w:t>
            </w:r>
          </w:p>
          <w:p>
            <w:pPr>
              <w:spacing w:line="400" w:lineRule="exact"/>
              <w:jc w:val="center"/>
              <w:rPr>
                <w:rFonts w:ascii="仿宋" w:hAnsi="仿宋" w:eastAsia="仿宋"/>
                <w:sz w:val="28"/>
                <w:szCs w:val="28"/>
              </w:rPr>
            </w:pPr>
            <w:r>
              <w:rPr>
                <w:rFonts w:ascii="仿宋" w:hAnsi="仿宋" w:eastAsia="仿宋"/>
                <w:sz w:val="28"/>
                <w:szCs w:val="28"/>
              </w:rPr>
              <w:t>类别</w:t>
            </w:r>
          </w:p>
        </w:tc>
        <w:tc>
          <w:tcPr>
            <w:tcW w:w="851"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ascii="仿宋" w:hAnsi="仿宋" w:eastAsia="仿宋"/>
                <w:sz w:val="28"/>
                <w:szCs w:val="28"/>
              </w:rPr>
              <w:t>类别</w:t>
            </w:r>
          </w:p>
          <w:p>
            <w:pPr>
              <w:spacing w:line="400" w:lineRule="exact"/>
              <w:jc w:val="center"/>
              <w:rPr>
                <w:rFonts w:ascii="仿宋" w:hAnsi="仿宋" w:eastAsia="仿宋"/>
                <w:sz w:val="28"/>
                <w:szCs w:val="28"/>
              </w:rPr>
            </w:pPr>
            <w:r>
              <w:rPr>
                <w:rFonts w:ascii="仿宋" w:hAnsi="仿宋" w:eastAsia="仿宋"/>
                <w:sz w:val="28"/>
                <w:szCs w:val="28"/>
              </w:rPr>
              <w:t>名称</w:t>
            </w:r>
          </w:p>
        </w:tc>
        <w:tc>
          <w:tcPr>
            <w:tcW w:w="895"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ascii="仿宋" w:hAnsi="仿宋" w:eastAsia="仿宋"/>
                <w:sz w:val="28"/>
                <w:szCs w:val="28"/>
              </w:rPr>
              <w:t>品种明细</w:t>
            </w:r>
          </w:p>
        </w:tc>
        <w:tc>
          <w:tcPr>
            <w:tcW w:w="3118"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ascii="仿宋" w:hAnsi="仿宋" w:eastAsia="仿宋"/>
                <w:sz w:val="28"/>
                <w:szCs w:val="28"/>
              </w:rPr>
              <w:t>定义</w:t>
            </w:r>
          </w:p>
        </w:tc>
        <w:tc>
          <w:tcPr>
            <w:tcW w:w="1657"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ascii="仿宋" w:hAnsi="仿宋" w:eastAsia="仿宋"/>
                <w:sz w:val="28"/>
                <w:szCs w:val="28"/>
              </w:rPr>
              <w:t>执行标准</w:t>
            </w:r>
            <w:r>
              <w:rPr>
                <w:rFonts w:ascii="仿宋" w:hAnsi="仿宋" w:eastAsia="仿宋"/>
                <w:sz w:val="28"/>
                <w:szCs w:val="28"/>
                <w:vertAlign w:val="superscript"/>
              </w:rPr>
              <w:t>a</w:t>
            </w:r>
          </w:p>
        </w:tc>
        <w:tc>
          <w:tcPr>
            <w:tcW w:w="2312"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ascii="仿宋" w:hAnsi="仿宋" w:eastAsia="仿宋"/>
                <w:sz w:val="28"/>
                <w:szCs w:val="28"/>
              </w:rPr>
              <w:t>备注</w:t>
            </w:r>
          </w:p>
        </w:tc>
      </w:tr>
      <w:tr>
        <w:tblPrEx>
          <w:tblCellMar>
            <w:top w:w="0" w:type="dxa"/>
            <w:left w:w="108" w:type="dxa"/>
            <w:bottom w:w="0" w:type="dxa"/>
            <w:right w:w="108" w:type="dxa"/>
          </w:tblCellMar>
        </w:tblPrEx>
        <w:trPr>
          <w:trHeight w:val="2287" w:hRule="atLeast"/>
          <w:jc w:val="center"/>
        </w:trPr>
        <w:tc>
          <w:tcPr>
            <w:tcW w:w="812" w:type="dxa"/>
            <w:tcBorders>
              <w:top w:val="single" w:color="auto" w:sz="4" w:space="0"/>
              <w:left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其他</w:t>
            </w:r>
          </w:p>
          <w:p>
            <w:pPr>
              <w:spacing w:line="300" w:lineRule="exact"/>
              <w:jc w:val="center"/>
              <w:rPr>
                <w:rFonts w:ascii="仿宋" w:hAnsi="仿宋" w:eastAsia="仿宋"/>
                <w:sz w:val="28"/>
                <w:szCs w:val="28"/>
              </w:rPr>
            </w:pPr>
            <w:r>
              <w:rPr>
                <w:rFonts w:hint="eastAsia" w:ascii="仿宋" w:hAnsi="仿宋" w:eastAsia="仿宋"/>
                <w:sz w:val="28"/>
                <w:szCs w:val="28"/>
              </w:rPr>
              <w:t>食品</w:t>
            </w:r>
          </w:p>
          <w:p>
            <w:pPr>
              <w:spacing w:line="300" w:lineRule="exact"/>
              <w:jc w:val="center"/>
              <w:rPr>
                <w:rFonts w:ascii="仿宋" w:hAnsi="仿宋" w:eastAsia="仿宋"/>
                <w:sz w:val="28"/>
                <w:szCs w:val="28"/>
              </w:rPr>
            </w:pPr>
          </w:p>
        </w:tc>
        <w:tc>
          <w:tcPr>
            <w:tcW w:w="851" w:type="dxa"/>
            <w:tcBorders>
              <w:top w:val="single" w:color="auto" w:sz="4" w:space="0"/>
              <w:left w:val="nil"/>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其他</w:t>
            </w:r>
          </w:p>
          <w:p>
            <w:pPr>
              <w:spacing w:line="300" w:lineRule="exact"/>
              <w:jc w:val="center"/>
              <w:rPr>
                <w:rFonts w:ascii="仿宋" w:hAnsi="仿宋" w:eastAsia="仿宋"/>
                <w:sz w:val="28"/>
                <w:szCs w:val="28"/>
              </w:rPr>
            </w:pPr>
            <w:r>
              <w:rPr>
                <w:rFonts w:hint="eastAsia" w:ascii="仿宋" w:hAnsi="仿宋" w:eastAsia="仿宋"/>
                <w:sz w:val="28"/>
                <w:szCs w:val="28"/>
              </w:rPr>
              <w:t>食品（即食黄精、</w:t>
            </w:r>
          </w:p>
          <w:p>
            <w:pPr>
              <w:spacing w:line="300" w:lineRule="exact"/>
              <w:jc w:val="center"/>
              <w:rPr>
                <w:rFonts w:ascii="仿宋" w:hAnsi="仿宋" w:eastAsia="仿宋"/>
                <w:sz w:val="28"/>
                <w:szCs w:val="28"/>
              </w:rPr>
            </w:pPr>
            <w:r>
              <w:rPr>
                <w:rFonts w:hint="eastAsia" w:ascii="仿宋" w:hAnsi="仿宋" w:eastAsia="仿宋"/>
                <w:sz w:val="28"/>
                <w:szCs w:val="28"/>
              </w:rPr>
              <w:t>即食玉竹</w:t>
            </w:r>
          </w:p>
          <w:p>
            <w:pPr>
              <w:spacing w:line="300" w:lineRule="exact"/>
              <w:jc w:val="center"/>
              <w:rPr>
                <w:rFonts w:ascii="仿宋" w:hAnsi="仿宋" w:eastAsia="仿宋"/>
                <w:sz w:val="28"/>
                <w:szCs w:val="28"/>
              </w:rPr>
            </w:pPr>
            <w:r>
              <w:rPr>
                <w:rFonts w:hint="eastAsia" w:ascii="仿宋" w:hAnsi="仿宋" w:eastAsia="仿宋"/>
                <w:sz w:val="28"/>
                <w:szCs w:val="28"/>
              </w:rPr>
              <w:t>）</w:t>
            </w:r>
          </w:p>
        </w:tc>
        <w:tc>
          <w:tcPr>
            <w:tcW w:w="895" w:type="dxa"/>
            <w:tcBorders>
              <w:top w:val="single" w:color="auto" w:sz="4" w:space="0"/>
              <w:left w:val="nil"/>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即食黄精、</w:t>
            </w:r>
          </w:p>
          <w:p>
            <w:pPr>
              <w:spacing w:line="300" w:lineRule="exact"/>
              <w:jc w:val="center"/>
              <w:rPr>
                <w:rFonts w:ascii="仿宋" w:hAnsi="仿宋" w:eastAsia="仿宋"/>
                <w:sz w:val="28"/>
                <w:szCs w:val="28"/>
              </w:rPr>
            </w:pPr>
            <w:r>
              <w:rPr>
                <w:rFonts w:hint="eastAsia" w:ascii="仿宋" w:hAnsi="仿宋" w:eastAsia="仿宋"/>
                <w:sz w:val="28"/>
                <w:szCs w:val="28"/>
              </w:rPr>
              <w:t>即食玉竹</w:t>
            </w:r>
          </w:p>
          <w:p>
            <w:pPr>
              <w:spacing w:line="300" w:lineRule="exact"/>
              <w:jc w:val="center"/>
              <w:rPr>
                <w:rFonts w:ascii="仿宋" w:hAnsi="仿宋" w:eastAsia="仿宋"/>
                <w:sz w:val="28"/>
                <w:szCs w:val="28"/>
              </w:rPr>
            </w:pPr>
          </w:p>
        </w:tc>
        <w:tc>
          <w:tcPr>
            <w:tcW w:w="3118" w:type="dxa"/>
            <w:tcBorders>
              <w:top w:val="single" w:color="auto" w:sz="4" w:space="0"/>
              <w:left w:val="nil"/>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以黄精、玉竹为主要原料，经挑选、清洗、配料或不配料、蒸制（多次）、干燥（多次）、切制或不切制、包装等工艺制成的或经挑选、清洗、配料或不配料、炆制、干燥、切制或不切制、蒸制、干燥、包装等工艺制成的可即食产品。</w:t>
            </w:r>
          </w:p>
        </w:tc>
        <w:tc>
          <w:tcPr>
            <w:tcW w:w="1657" w:type="dxa"/>
            <w:tcBorders>
              <w:top w:val="single" w:color="auto" w:sz="4" w:space="0"/>
              <w:left w:val="nil"/>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食品安全国家标准、食品安全地方标准、食品安全企业标准、食品国家标准、食品行业标准、食品地方标准、食品团体标准或者食品企业标准。</w:t>
            </w:r>
          </w:p>
        </w:tc>
        <w:tc>
          <w:tcPr>
            <w:tcW w:w="2312" w:type="dxa"/>
            <w:tcBorders>
              <w:top w:val="single" w:color="auto" w:sz="4" w:space="0"/>
              <w:left w:val="nil"/>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蒸制指水蒸气蒸煮至熟方式；炆制指在炆制锅内，加入适量饮用水，利用微火慢煮至熟方式；切制为非必要工艺，配料允许用其他改善口感的辅料；切制、配料工序顺序可调整。</w:t>
            </w:r>
          </w:p>
        </w:tc>
      </w:tr>
      <w:tr>
        <w:tblPrEx>
          <w:tblCellMar>
            <w:top w:w="0" w:type="dxa"/>
            <w:left w:w="108" w:type="dxa"/>
            <w:bottom w:w="0" w:type="dxa"/>
            <w:right w:w="108" w:type="dxa"/>
          </w:tblCellMar>
        </w:tblPrEx>
        <w:trPr>
          <w:trHeight w:val="637" w:hRule="atLeast"/>
          <w:jc w:val="center"/>
        </w:trPr>
        <w:tc>
          <w:tcPr>
            <w:tcW w:w="9645"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sz w:val="28"/>
                <w:szCs w:val="28"/>
              </w:rPr>
            </w:pPr>
            <w:r>
              <w:rPr>
                <w:rFonts w:ascii="仿宋" w:hAnsi="仿宋" w:eastAsia="仿宋"/>
                <w:sz w:val="28"/>
                <w:szCs w:val="28"/>
                <w:vertAlign w:val="superscript"/>
              </w:rPr>
              <w:t>a</w:t>
            </w:r>
            <w:r>
              <w:rPr>
                <w:rFonts w:ascii="仿宋" w:hAnsi="仿宋" w:eastAsia="仿宋"/>
                <w:sz w:val="28"/>
                <w:szCs w:val="28"/>
              </w:rPr>
              <w:t>企业可制定严于食品安全国家标准的企业标准，在本企业使用，并报省卫生行政部门备案。</w:t>
            </w:r>
          </w:p>
        </w:tc>
      </w:tr>
    </w:tbl>
    <w:p>
      <w:pPr>
        <w:spacing w:line="580" w:lineRule="exact"/>
        <w:ind w:firstLine="562" w:firstLineChars="200"/>
        <w:rPr>
          <w:rFonts w:ascii="仿宋" w:hAnsi="仿宋" w:eastAsia="仿宋"/>
          <w:sz w:val="28"/>
          <w:szCs w:val="28"/>
        </w:rPr>
      </w:pPr>
      <w:r>
        <w:rPr>
          <w:rFonts w:hint="eastAsia" w:ascii="仿宋" w:hAnsi="仿宋" w:eastAsia="仿宋" w:cs="仿宋_GB2312"/>
          <w:b/>
          <w:sz w:val="28"/>
          <w:szCs w:val="28"/>
        </w:rPr>
        <w:t>第四条</w:t>
      </w:r>
      <w:r>
        <w:rPr>
          <w:rFonts w:hint="eastAsia" w:ascii="仿宋" w:hAnsi="仿宋" w:eastAsia="仿宋"/>
          <w:sz w:val="28"/>
          <w:szCs w:val="28"/>
        </w:rPr>
        <w:t xml:space="preserve"> 本规范中引用的文件、标准通过引用成为本规范的内容。凡是引用文件、标准，其最新版本（包括所有的修改单）适用于本规范。</w:t>
      </w:r>
    </w:p>
    <w:p>
      <w:pPr>
        <w:spacing w:line="580" w:lineRule="exact"/>
        <w:ind w:firstLine="562" w:firstLineChars="200"/>
        <w:rPr>
          <w:rFonts w:ascii="仿宋" w:hAnsi="仿宋" w:eastAsia="仿宋"/>
          <w:sz w:val="28"/>
          <w:szCs w:val="28"/>
        </w:rPr>
      </w:pPr>
      <w:r>
        <w:rPr>
          <w:rFonts w:hint="eastAsia" w:ascii="仿宋" w:hAnsi="仿宋" w:eastAsia="仿宋" w:cs="仿宋_GB2312"/>
          <w:b/>
          <w:sz w:val="28"/>
          <w:szCs w:val="28"/>
        </w:rPr>
        <w:t>第五条</w:t>
      </w:r>
      <w:r>
        <w:rPr>
          <w:rFonts w:hint="eastAsia" w:ascii="仿宋" w:hAnsi="仿宋" w:eastAsia="仿宋"/>
          <w:sz w:val="28"/>
          <w:szCs w:val="28"/>
        </w:rPr>
        <w:t xml:space="preserve"> 不得以分装方式生产即食黄精和即食玉竹。</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80" w:lineRule="exact"/>
        <w:ind w:firstLine="562" w:firstLineChars="200"/>
        <w:jc w:val="center"/>
        <w:outlineLvl w:val="1"/>
        <w:rPr>
          <w:rFonts w:ascii="仿宋" w:hAnsi="仿宋" w:eastAsia="仿宋" w:cs="仿宋_GB2312"/>
          <w:b/>
          <w:sz w:val="28"/>
          <w:szCs w:val="28"/>
        </w:rPr>
      </w:pPr>
      <w:r>
        <w:rPr>
          <w:rFonts w:hint="eastAsia" w:ascii="仿宋" w:hAnsi="仿宋" w:eastAsia="仿宋" w:cs="仿宋_GB2312"/>
          <w:b/>
          <w:sz w:val="28"/>
          <w:szCs w:val="28"/>
        </w:rPr>
        <w:t>第二章 生产场所</w:t>
      </w:r>
    </w:p>
    <w:p>
      <w:pPr>
        <w:spacing w:line="580" w:lineRule="exact"/>
        <w:ind w:firstLine="560" w:firstLineChars="200"/>
        <w:jc w:val="center"/>
        <w:outlineLvl w:val="1"/>
        <w:rPr>
          <w:rFonts w:ascii="仿宋" w:hAnsi="仿宋" w:eastAsia="仿宋" w:cs="仿宋_GB2312"/>
          <w:sz w:val="28"/>
          <w:szCs w:val="28"/>
        </w:rPr>
      </w:pPr>
      <w:r>
        <w:rPr>
          <w:rFonts w:ascii="仿宋" w:hAnsi="仿宋" w:eastAsia="仿宋" w:cs="仿宋_GB2312"/>
          <w:sz w:val="28"/>
          <w:szCs w:val="28"/>
        </w:rPr>
        <w:t xml:space="preserve"> </w:t>
      </w:r>
    </w:p>
    <w:p>
      <w:pPr>
        <w:spacing w:line="580" w:lineRule="exact"/>
        <w:ind w:firstLine="562" w:firstLineChars="200"/>
        <w:rPr>
          <w:rFonts w:ascii="仿宋" w:hAnsi="仿宋" w:eastAsia="仿宋"/>
          <w:sz w:val="28"/>
          <w:szCs w:val="28"/>
        </w:rPr>
      </w:pPr>
      <w:r>
        <w:rPr>
          <w:rFonts w:hint="eastAsia" w:ascii="仿宋" w:hAnsi="仿宋" w:eastAsia="仿宋" w:cs="仿宋_GB2312"/>
          <w:b/>
          <w:sz w:val="28"/>
          <w:szCs w:val="28"/>
        </w:rPr>
        <w:t>第六条</w:t>
      </w:r>
      <w:r>
        <w:rPr>
          <w:rFonts w:hint="eastAsia" w:ascii="仿宋" w:hAnsi="仿宋" w:eastAsia="仿宋"/>
          <w:sz w:val="28"/>
          <w:szCs w:val="28"/>
        </w:rPr>
        <w:t xml:space="preserve"> 企业厂房选址和设计、内部建筑结构、辅助生产设施应当能够避免污染、交叉污染、微生物孳生，便于清洁、操作和维护。人流、物流走向应当合理，有效避免人员、设备和物料流动造成的污染。</w:t>
      </w:r>
    </w:p>
    <w:p>
      <w:pPr>
        <w:spacing w:line="58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第七条</w:t>
      </w:r>
      <w:r>
        <w:rPr>
          <w:rFonts w:hint="eastAsia" w:ascii="仿宋" w:hAnsi="仿宋" w:eastAsia="仿宋"/>
          <w:sz w:val="28"/>
          <w:szCs w:val="28"/>
        </w:rPr>
        <w:t xml:space="preserve"> 生产车间及辅助设施的设置应按生产流程需要及卫生要求，有序而合理布局。根据生产流程、生产操作需要和清洁度的要求进行隔离，避免交叉污染。</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生产车间一般包括原料清洗、挑选处理区（间）、配料区（间）、蒸制区（间）或炆制区（间）、干燥区（间）、包装前切制成型区（间）、原辅料仓库、成品仓库等。</w:t>
      </w:r>
    </w:p>
    <w:p>
      <w:pPr>
        <w:spacing w:line="58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第八条</w:t>
      </w:r>
      <w:r>
        <w:rPr>
          <w:rFonts w:hint="eastAsia" w:ascii="仿宋" w:hAnsi="仿宋" w:eastAsia="仿宋" w:cs="仿宋_GB2312"/>
          <w:sz w:val="28"/>
          <w:szCs w:val="28"/>
        </w:rPr>
        <w:t xml:space="preserve"> </w:t>
      </w:r>
      <w:r>
        <w:rPr>
          <w:rFonts w:hint="eastAsia" w:ascii="仿宋" w:hAnsi="仿宋" w:eastAsia="仿宋"/>
          <w:sz w:val="28"/>
          <w:szCs w:val="28"/>
        </w:rPr>
        <w:t>车间内应区分清洁作业区、准清洁作业区和一般作业区，即食黄精和即食玉竹食品生产车间及清洁作业区具体划分见表二。</w:t>
      </w:r>
    </w:p>
    <w:p>
      <w:pPr>
        <w:spacing w:line="580" w:lineRule="exact"/>
        <w:ind w:firstLine="560" w:firstLineChars="200"/>
        <w:jc w:val="center"/>
        <w:outlineLvl w:val="3"/>
        <w:rPr>
          <w:rFonts w:ascii="仿宋" w:hAnsi="仿宋" w:eastAsia="仿宋"/>
          <w:sz w:val="28"/>
          <w:szCs w:val="28"/>
        </w:rPr>
      </w:pPr>
      <w:r>
        <w:rPr>
          <w:rFonts w:hint="eastAsia" w:ascii="仿宋" w:hAnsi="仿宋" w:eastAsia="仿宋"/>
          <w:sz w:val="28"/>
          <w:szCs w:val="28"/>
        </w:rPr>
        <w:t>表二 即食黄精和即食玉竹食品企业生产车间及清洁作业区划分表</w:t>
      </w:r>
    </w:p>
    <w:tbl>
      <w:tblPr>
        <w:tblStyle w:val="7"/>
        <w:tblW w:w="0" w:type="auto"/>
        <w:jc w:val="center"/>
        <w:tblLayout w:type="fixed"/>
        <w:tblCellMar>
          <w:top w:w="0" w:type="dxa"/>
          <w:left w:w="108" w:type="dxa"/>
          <w:bottom w:w="0" w:type="dxa"/>
          <w:right w:w="108" w:type="dxa"/>
        </w:tblCellMar>
      </w:tblPr>
      <w:tblGrid>
        <w:gridCol w:w="920"/>
        <w:gridCol w:w="1838"/>
        <w:gridCol w:w="2126"/>
        <w:gridCol w:w="2410"/>
        <w:gridCol w:w="2126"/>
      </w:tblGrid>
      <w:tr>
        <w:tblPrEx>
          <w:tblCellMar>
            <w:top w:w="0" w:type="dxa"/>
            <w:left w:w="108" w:type="dxa"/>
            <w:bottom w:w="0" w:type="dxa"/>
            <w:right w:w="108" w:type="dxa"/>
          </w:tblCellMar>
        </w:tblPrEx>
        <w:trPr>
          <w:trHeight w:val="495"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28"/>
                <w:szCs w:val="28"/>
              </w:rPr>
            </w:pPr>
            <w:r>
              <w:rPr>
                <w:rFonts w:ascii="仿宋" w:hAnsi="仿宋" w:eastAsia="仿宋"/>
                <w:kern w:val="0"/>
                <w:sz w:val="28"/>
                <w:szCs w:val="28"/>
              </w:rPr>
              <w:t>序号</w:t>
            </w:r>
          </w:p>
        </w:tc>
        <w:tc>
          <w:tcPr>
            <w:tcW w:w="1838"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28"/>
                <w:szCs w:val="28"/>
              </w:rPr>
            </w:pPr>
            <w:r>
              <w:rPr>
                <w:rFonts w:ascii="仿宋" w:hAnsi="仿宋" w:eastAsia="仿宋"/>
                <w:kern w:val="0"/>
                <w:sz w:val="28"/>
                <w:szCs w:val="28"/>
              </w:rPr>
              <w:t>产品名称</w:t>
            </w:r>
          </w:p>
        </w:tc>
        <w:tc>
          <w:tcPr>
            <w:tcW w:w="2126"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28"/>
                <w:szCs w:val="28"/>
              </w:rPr>
            </w:pPr>
            <w:r>
              <w:rPr>
                <w:rFonts w:ascii="仿宋" w:hAnsi="仿宋" w:eastAsia="仿宋"/>
                <w:kern w:val="0"/>
                <w:sz w:val="28"/>
                <w:szCs w:val="28"/>
              </w:rPr>
              <w:t>清洁作业区</w:t>
            </w:r>
          </w:p>
        </w:tc>
        <w:tc>
          <w:tcPr>
            <w:tcW w:w="2410"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28"/>
                <w:szCs w:val="28"/>
              </w:rPr>
            </w:pPr>
            <w:r>
              <w:rPr>
                <w:rFonts w:ascii="仿宋" w:hAnsi="仿宋" w:eastAsia="仿宋"/>
                <w:kern w:val="0"/>
                <w:sz w:val="28"/>
                <w:szCs w:val="28"/>
              </w:rPr>
              <w:t>准清洁作业区</w:t>
            </w:r>
          </w:p>
        </w:tc>
        <w:tc>
          <w:tcPr>
            <w:tcW w:w="2126"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 w:hAnsi="仿宋" w:eastAsia="仿宋"/>
                <w:kern w:val="0"/>
                <w:sz w:val="28"/>
                <w:szCs w:val="28"/>
              </w:rPr>
            </w:pPr>
            <w:r>
              <w:rPr>
                <w:rFonts w:ascii="仿宋" w:hAnsi="仿宋" w:eastAsia="仿宋"/>
                <w:kern w:val="0"/>
                <w:sz w:val="28"/>
                <w:szCs w:val="28"/>
              </w:rPr>
              <w:t>一般作业区</w:t>
            </w:r>
          </w:p>
        </w:tc>
      </w:tr>
      <w:tr>
        <w:tblPrEx>
          <w:tblCellMar>
            <w:top w:w="0" w:type="dxa"/>
            <w:left w:w="108" w:type="dxa"/>
            <w:bottom w:w="0" w:type="dxa"/>
            <w:right w:w="108" w:type="dxa"/>
          </w:tblCellMar>
        </w:tblPrEx>
        <w:trPr>
          <w:trHeight w:val="720"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kern w:val="0"/>
                <w:sz w:val="28"/>
                <w:szCs w:val="28"/>
              </w:rPr>
            </w:pPr>
            <w:r>
              <w:rPr>
                <w:rFonts w:ascii="仿宋" w:hAnsi="仿宋" w:eastAsia="仿宋"/>
                <w:kern w:val="0"/>
                <w:sz w:val="28"/>
                <w:szCs w:val="28"/>
              </w:rPr>
              <w:t>1</w:t>
            </w:r>
          </w:p>
        </w:tc>
        <w:tc>
          <w:tcPr>
            <w:tcW w:w="1838" w:type="dxa"/>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kern w:val="0"/>
                <w:sz w:val="28"/>
                <w:szCs w:val="28"/>
              </w:rPr>
            </w:pPr>
            <w:r>
              <w:rPr>
                <w:rFonts w:hint="eastAsia" w:ascii="仿宋" w:hAnsi="仿宋" w:eastAsia="仿宋"/>
                <w:kern w:val="0"/>
                <w:sz w:val="28"/>
                <w:szCs w:val="28"/>
              </w:rPr>
              <w:t>即食黄精和即食玉竹</w:t>
            </w:r>
          </w:p>
        </w:tc>
        <w:tc>
          <w:tcPr>
            <w:tcW w:w="2126" w:type="dxa"/>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kern w:val="0"/>
                <w:sz w:val="28"/>
                <w:szCs w:val="28"/>
              </w:rPr>
            </w:pPr>
            <w:r>
              <w:rPr>
                <w:rFonts w:hint="eastAsia" w:ascii="仿宋" w:hAnsi="仿宋" w:eastAsia="仿宋"/>
                <w:sz w:val="28"/>
                <w:szCs w:val="28"/>
              </w:rPr>
              <w:t>成品冷却间或暂存间、内包材消毒仓（间）、包装前切制成型区（间）、内包装车间等</w:t>
            </w:r>
          </w:p>
        </w:tc>
        <w:tc>
          <w:tcPr>
            <w:tcW w:w="2410" w:type="dxa"/>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kern w:val="0"/>
                <w:sz w:val="28"/>
                <w:szCs w:val="28"/>
              </w:rPr>
            </w:pPr>
            <w:r>
              <w:rPr>
                <w:rFonts w:hint="eastAsia" w:ascii="仿宋" w:hAnsi="仿宋" w:eastAsia="仿宋"/>
                <w:kern w:val="0"/>
                <w:sz w:val="28"/>
                <w:szCs w:val="28"/>
              </w:rPr>
              <w:t>配料、蒸制、干燥、切制成型、炆制（有此工艺的）、原辅料缓冲区（间）、工器具清洗消毒间等</w:t>
            </w:r>
          </w:p>
        </w:tc>
        <w:tc>
          <w:tcPr>
            <w:tcW w:w="2126" w:type="dxa"/>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kern w:val="0"/>
                <w:sz w:val="28"/>
                <w:szCs w:val="28"/>
              </w:rPr>
            </w:pPr>
            <w:r>
              <w:rPr>
                <w:rFonts w:hint="eastAsia" w:ascii="仿宋" w:hAnsi="仿宋" w:eastAsia="仿宋"/>
                <w:kern w:val="0"/>
                <w:sz w:val="28"/>
                <w:szCs w:val="28"/>
              </w:rPr>
              <w:t>原料清洗处理区（间）、</w:t>
            </w:r>
            <w:r>
              <w:rPr>
                <w:rFonts w:ascii="仿宋" w:hAnsi="仿宋" w:eastAsia="仿宋"/>
                <w:kern w:val="0"/>
                <w:sz w:val="28"/>
                <w:szCs w:val="28"/>
              </w:rPr>
              <w:t>原料仓库、包</w:t>
            </w:r>
            <w:r>
              <w:rPr>
                <w:rFonts w:hint="eastAsia" w:ascii="仿宋" w:hAnsi="仿宋" w:eastAsia="仿宋"/>
                <w:kern w:val="0"/>
                <w:sz w:val="28"/>
                <w:szCs w:val="28"/>
              </w:rPr>
              <w:t>材</w:t>
            </w:r>
            <w:r>
              <w:rPr>
                <w:rFonts w:ascii="仿宋" w:hAnsi="仿宋" w:eastAsia="仿宋"/>
                <w:kern w:val="0"/>
                <w:sz w:val="28"/>
                <w:szCs w:val="28"/>
              </w:rPr>
              <w:t>仓库、外包装车间及成品仓库等</w:t>
            </w:r>
          </w:p>
        </w:tc>
      </w:tr>
    </w:tbl>
    <w:p>
      <w:pPr>
        <w:spacing w:line="58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第九条</w:t>
      </w:r>
      <w:r>
        <w:rPr>
          <w:rFonts w:hint="eastAsia" w:ascii="仿宋" w:hAnsi="仿宋" w:eastAsia="仿宋"/>
          <w:sz w:val="28"/>
          <w:szCs w:val="28"/>
        </w:rPr>
        <w:t xml:space="preserve"> 清洁作业区出入应有合理的限制和控制，进入清洁作业区的原辅料、包装材料等应有清洁措施。</w:t>
      </w:r>
    </w:p>
    <w:p>
      <w:pPr>
        <w:spacing w:line="580" w:lineRule="exact"/>
        <w:ind w:firstLine="562" w:firstLineChars="200"/>
        <w:outlineLvl w:val="3"/>
        <w:rPr>
          <w:rFonts w:ascii="仿宋" w:hAnsi="仿宋" w:eastAsia="仿宋"/>
          <w:spacing w:val="4"/>
          <w:sz w:val="28"/>
          <w:szCs w:val="28"/>
        </w:rPr>
      </w:pPr>
      <w:r>
        <w:rPr>
          <w:rFonts w:hint="eastAsia" w:ascii="仿宋" w:hAnsi="仿宋" w:eastAsia="仿宋" w:cs="仿宋_GB2312"/>
          <w:b/>
          <w:sz w:val="28"/>
          <w:szCs w:val="28"/>
        </w:rPr>
        <w:t>第十条</w:t>
      </w:r>
      <w:r>
        <w:rPr>
          <w:rFonts w:hint="eastAsia" w:ascii="仿宋" w:hAnsi="仿宋" w:eastAsia="仿宋"/>
          <w:sz w:val="28"/>
          <w:szCs w:val="28"/>
        </w:rPr>
        <w:t xml:space="preserve"> </w:t>
      </w:r>
      <w:r>
        <w:rPr>
          <w:rFonts w:hint="eastAsia" w:ascii="仿宋" w:hAnsi="仿宋" w:eastAsia="仿宋"/>
          <w:spacing w:val="4"/>
          <w:sz w:val="28"/>
          <w:szCs w:val="28"/>
        </w:rPr>
        <w:t>应具有与所生产产品的数量、贮存要求相适应的仓储设施，并有通风和照明设施，必要时设有温</w:t>
      </w:r>
      <w:r>
        <w:rPr>
          <w:rFonts w:hint="eastAsia" w:ascii="仿宋" w:hAnsi="仿宋" w:eastAsia="仿宋"/>
          <w:sz w:val="28"/>
          <w:szCs w:val="28"/>
        </w:rPr>
        <w:t>度</w:t>
      </w:r>
      <w:r>
        <w:rPr>
          <w:rFonts w:hint="eastAsia" w:ascii="仿宋" w:hAnsi="仿宋" w:eastAsia="仿宋"/>
          <w:spacing w:val="4"/>
          <w:sz w:val="28"/>
          <w:szCs w:val="28"/>
        </w:rPr>
        <w:t>、湿度控制设施，满足物料或产品的贮存条件（如温、湿度）和安全贮存的要求。</w:t>
      </w:r>
    </w:p>
    <w:p>
      <w:pPr>
        <w:spacing w:line="58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第十一条</w:t>
      </w:r>
      <w:r>
        <w:rPr>
          <w:rFonts w:hint="eastAsia" w:ascii="仿宋" w:hAnsi="仿宋" w:eastAsia="仿宋"/>
          <w:sz w:val="28"/>
          <w:szCs w:val="28"/>
        </w:rPr>
        <w:t xml:space="preserve"> 应建立仓储管理制度，原辅料、半成品、成品、包装材料等应依据性质的不同分设贮存场所或分区域码放，并有明确标识，不得将原辅料、产品与有毒有害物品一同贮存，防止交叉污染。不合格、退货或召回的物料或产品应分区存放并有明确标示。清洁剂、消毒剂等包装标识完整，单独存放，妥善保存，应与原料、半成品、成品、包装材料等分隔放置。</w:t>
      </w:r>
    </w:p>
    <w:p>
      <w:pPr>
        <w:spacing w:line="580" w:lineRule="exact"/>
        <w:ind w:firstLine="560" w:firstLineChars="200"/>
        <w:outlineLvl w:val="3"/>
        <w:rPr>
          <w:rFonts w:ascii="仿宋" w:hAnsi="仿宋" w:eastAsia="仿宋"/>
          <w:sz w:val="28"/>
          <w:szCs w:val="28"/>
        </w:rPr>
      </w:pPr>
    </w:p>
    <w:p>
      <w:pPr>
        <w:spacing w:line="580" w:lineRule="exact"/>
        <w:ind w:firstLine="562" w:firstLineChars="200"/>
        <w:jc w:val="center"/>
        <w:outlineLvl w:val="1"/>
        <w:rPr>
          <w:rFonts w:ascii="仿宋" w:hAnsi="仿宋" w:eastAsia="仿宋" w:cs="仿宋_GB2312"/>
          <w:b/>
          <w:sz w:val="28"/>
          <w:szCs w:val="28"/>
        </w:rPr>
      </w:pPr>
      <w:r>
        <w:rPr>
          <w:rFonts w:hint="eastAsia" w:ascii="仿宋" w:hAnsi="仿宋" w:eastAsia="仿宋" w:cs="仿宋_GB2312"/>
          <w:b/>
          <w:sz w:val="28"/>
          <w:szCs w:val="28"/>
        </w:rPr>
        <w:t>第三章 设备设施</w:t>
      </w:r>
    </w:p>
    <w:p>
      <w:pPr>
        <w:spacing w:line="580" w:lineRule="exact"/>
        <w:ind w:firstLine="560" w:firstLineChars="200"/>
        <w:jc w:val="center"/>
        <w:outlineLvl w:val="1"/>
        <w:rPr>
          <w:rFonts w:ascii="仿宋" w:hAnsi="仿宋" w:eastAsia="仿宋" w:cs="仿宋_GB2312"/>
          <w:sz w:val="28"/>
          <w:szCs w:val="28"/>
        </w:rPr>
      </w:pPr>
      <w:r>
        <w:rPr>
          <w:rFonts w:ascii="仿宋" w:hAnsi="仿宋" w:eastAsia="仿宋" w:cs="仿宋_GB2312"/>
          <w:sz w:val="28"/>
          <w:szCs w:val="28"/>
        </w:rPr>
        <w:t xml:space="preserve"> </w:t>
      </w:r>
    </w:p>
    <w:p>
      <w:pPr>
        <w:spacing w:line="58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第十二条</w:t>
      </w:r>
      <w:r>
        <w:rPr>
          <w:rFonts w:ascii="仿宋" w:hAnsi="仿宋" w:eastAsia="仿宋" w:cs="仿宋_GB2312"/>
          <w:sz w:val="28"/>
          <w:szCs w:val="28"/>
        </w:rPr>
        <w:t xml:space="preserve"> </w:t>
      </w:r>
      <w:r>
        <w:rPr>
          <w:rFonts w:hint="eastAsia" w:ascii="仿宋" w:hAnsi="仿宋" w:eastAsia="仿宋"/>
          <w:sz w:val="28"/>
          <w:szCs w:val="28"/>
        </w:rPr>
        <w:t>企业应具有与申证产品品种相适应的生产设备设施，各个设备的设计产能应能相互匹配，其性能与精密度应符合生产要求，便于操作、清洁、维护和消毒或灭菌。采用自然干燥工艺的应在阳光房（棚）中完成，并有防蝇虫、防鼠设施，物料转运时应密闭转运。</w:t>
      </w:r>
    </w:p>
    <w:p>
      <w:pPr>
        <w:spacing w:line="580" w:lineRule="exact"/>
        <w:ind w:left="2" w:leftChars="1" w:firstLine="562" w:firstLineChars="200"/>
        <w:outlineLvl w:val="3"/>
        <w:rPr>
          <w:rFonts w:ascii="仿宋" w:hAnsi="仿宋" w:eastAsia="仿宋"/>
          <w:sz w:val="28"/>
          <w:szCs w:val="28"/>
        </w:rPr>
      </w:pPr>
      <w:r>
        <w:rPr>
          <w:rFonts w:hint="eastAsia" w:ascii="仿宋" w:hAnsi="仿宋" w:eastAsia="仿宋" w:cs="仿宋_GB2312"/>
          <w:b/>
          <w:sz w:val="28"/>
          <w:szCs w:val="28"/>
        </w:rPr>
        <w:t>第十三条</w:t>
      </w:r>
      <w:r>
        <w:rPr>
          <w:rFonts w:hint="eastAsia" w:ascii="仿宋" w:hAnsi="仿宋" w:eastAsia="仿宋"/>
          <w:sz w:val="28"/>
          <w:szCs w:val="28"/>
        </w:rPr>
        <w:t xml:space="preserve"> 与原辅料、半成品、成品直接或间接接触的所有设备与用具，应使用安全、无毒、无臭味或异味、耐磨损、防吸收、耐腐蚀且可承受反复清洗和消毒的材料制造，直接接触面的材质应符合食品相关产品的有关标准。</w:t>
      </w:r>
    </w:p>
    <w:p>
      <w:pPr>
        <w:spacing w:line="580" w:lineRule="exact"/>
        <w:ind w:left="2" w:leftChars="1" w:firstLine="562" w:firstLineChars="200"/>
        <w:outlineLvl w:val="3"/>
        <w:rPr>
          <w:rFonts w:ascii="仿宋" w:hAnsi="仿宋" w:eastAsia="仿宋"/>
          <w:sz w:val="28"/>
          <w:szCs w:val="28"/>
        </w:rPr>
      </w:pPr>
      <w:r>
        <w:rPr>
          <w:rFonts w:hint="eastAsia" w:ascii="仿宋" w:hAnsi="仿宋" w:eastAsia="仿宋" w:cs="仿宋_GB2312"/>
          <w:b/>
          <w:sz w:val="28"/>
          <w:szCs w:val="28"/>
        </w:rPr>
        <w:t>第十四条</w:t>
      </w:r>
      <w:r>
        <w:rPr>
          <w:rFonts w:hint="eastAsia" w:ascii="仿宋" w:hAnsi="仿宋" w:eastAsia="仿宋"/>
          <w:sz w:val="28"/>
          <w:szCs w:val="28"/>
        </w:rPr>
        <w:t xml:space="preserve"> 生产用水的水质应符合生活饮用水卫生标准。</w:t>
      </w:r>
    </w:p>
    <w:p>
      <w:pPr>
        <w:spacing w:line="580" w:lineRule="exact"/>
        <w:ind w:firstLine="562" w:firstLineChars="200"/>
        <w:rPr>
          <w:rFonts w:ascii="仿宋" w:hAnsi="仿宋" w:eastAsia="仿宋"/>
          <w:sz w:val="28"/>
          <w:szCs w:val="28"/>
        </w:rPr>
      </w:pPr>
      <w:r>
        <w:rPr>
          <w:rFonts w:hint="eastAsia" w:ascii="仿宋" w:hAnsi="仿宋" w:eastAsia="仿宋" w:cs="仿宋_GB2312"/>
          <w:b/>
          <w:sz w:val="28"/>
          <w:szCs w:val="28"/>
        </w:rPr>
        <w:t>第十五条</w:t>
      </w:r>
      <w:r>
        <w:rPr>
          <w:rFonts w:hint="eastAsia" w:ascii="仿宋" w:hAnsi="仿宋" w:eastAsia="仿宋"/>
          <w:sz w:val="28"/>
          <w:szCs w:val="28"/>
        </w:rPr>
        <w:t xml:space="preserve"> 有合理的排水设施和废水处理设施，排水流向应由清洁程度要求高的区域流向清洁程度要求低的区域，排水系统入口应安装带水封的地漏，以防止固体废弃物进入及浊气逸出，并有防止废水逆流的设计。</w:t>
      </w:r>
    </w:p>
    <w:p>
      <w:pPr>
        <w:spacing w:line="580" w:lineRule="exact"/>
        <w:ind w:left="2" w:leftChars="1" w:firstLine="562" w:firstLineChars="200"/>
        <w:outlineLvl w:val="3"/>
        <w:rPr>
          <w:rFonts w:ascii="仿宋" w:hAnsi="仿宋" w:eastAsia="仿宋"/>
          <w:sz w:val="28"/>
          <w:szCs w:val="28"/>
        </w:rPr>
      </w:pPr>
      <w:r>
        <w:rPr>
          <w:rFonts w:hint="eastAsia" w:ascii="仿宋" w:hAnsi="仿宋" w:eastAsia="仿宋" w:cs="仿宋_GB2312"/>
          <w:b/>
          <w:sz w:val="28"/>
          <w:szCs w:val="28"/>
        </w:rPr>
        <w:t>第十六条</w:t>
      </w:r>
      <w:r>
        <w:rPr>
          <w:rFonts w:hint="eastAsia" w:ascii="仿宋" w:hAnsi="仿宋" w:eastAsia="仿宋"/>
          <w:sz w:val="28"/>
          <w:szCs w:val="28"/>
        </w:rPr>
        <w:t xml:space="preserve"> 生产加工过程产生的废弃物应使用专用设施存放，不得与盛装产品或原料的容器混用，并有明显标识。</w:t>
      </w:r>
    </w:p>
    <w:p>
      <w:pPr>
        <w:spacing w:line="580" w:lineRule="exact"/>
        <w:ind w:left="2" w:leftChars="1" w:firstLine="562" w:firstLineChars="200"/>
        <w:outlineLvl w:val="3"/>
        <w:rPr>
          <w:rFonts w:ascii="仿宋" w:hAnsi="仿宋" w:eastAsia="仿宋"/>
          <w:sz w:val="28"/>
          <w:szCs w:val="28"/>
        </w:rPr>
      </w:pPr>
      <w:r>
        <w:rPr>
          <w:rFonts w:hint="eastAsia" w:ascii="仿宋" w:hAnsi="仿宋" w:eastAsia="仿宋" w:cs="仿宋_GB2312"/>
          <w:b/>
          <w:sz w:val="28"/>
          <w:szCs w:val="28"/>
        </w:rPr>
        <w:t>第十七条</w:t>
      </w:r>
      <w:r>
        <w:rPr>
          <w:rFonts w:hint="eastAsia" w:ascii="仿宋" w:hAnsi="仿宋" w:eastAsia="仿宋" w:cs="仿宋_GB2312"/>
          <w:sz w:val="28"/>
          <w:szCs w:val="28"/>
        </w:rPr>
        <w:t xml:space="preserve"> </w:t>
      </w:r>
      <w:r>
        <w:rPr>
          <w:rFonts w:hint="eastAsia" w:ascii="仿宋" w:hAnsi="仿宋" w:eastAsia="仿宋"/>
          <w:sz w:val="28"/>
          <w:szCs w:val="28"/>
        </w:rPr>
        <w:t>更衣室及洗手消毒室应设在车间入口处，洗手消毒室内应配置非手动式洗手设施、消毒设施和感应式干手设施。</w:t>
      </w:r>
    </w:p>
    <w:p>
      <w:pPr>
        <w:spacing w:line="580" w:lineRule="exact"/>
        <w:ind w:left="2" w:leftChars="1" w:firstLine="562" w:firstLineChars="200"/>
        <w:outlineLvl w:val="3"/>
        <w:rPr>
          <w:rFonts w:ascii="仿宋" w:hAnsi="仿宋" w:eastAsia="仿宋"/>
          <w:sz w:val="28"/>
          <w:szCs w:val="28"/>
        </w:rPr>
      </w:pPr>
      <w:r>
        <w:rPr>
          <w:rFonts w:hint="eastAsia" w:ascii="仿宋" w:hAnsi="仿宋" w:eastAsia="仿宋" w:cs="仿宋_GB2312"/>
          <w:b/>
          <w:sz w:val="28"/>
          <w:szCs w:val="28"/>
        </w:rPr>
        <w:t>第十八条</w:t>
      </w:r>
      <w:r>
        <w:rPr>
          <w:rFonts w:hint="eastAsia" w:ascii="仿宋" w:hAnsi="仿宋" w:eastAsia="仿宋"/>
          <w:sz w:val="28"/>
          <w:szCs w:val="28"/>
        </w:rPr>
        <w:t xml:space="preserve"> 清洁作业区的入口应设置二次更衣室，更衣室的空气洁净度应符合清洁作业区的要求，更衣室对应不同洁净区两边的门应防止同时被开启。应设置阻拦式鞋柜、独立洁净服存放柜、洗手消毒设施等。</w:t>
      </w:r>
    </w:p>
    <w:p>
      <w:pPr>
        <w:spacing w:line="580" w:lineRule="exact"/>
        <w:ind w:left="2" w:leftChars="1" w:firstLine="562" w:firstLineChars="200"/>
        <w:outlineLvl w:val="3"/>
        <w:rPr>
          <w:rFonts w:ascii="仿宋" w:hAnsi="仿宋" w:eastAsia="仿宋"/>
          <w:sz w:val="28"/>
          <w:szCs w:val="28"/>
        </w:rPr>
      </w:pPr>
      <w:r>
        <w:rPr>
          <w:rFonts w:hint="eastAsia" w:ascii="仿宋" w:hAnsi="仿宋" w:eastAsia="仿宋" w:cs="仿宋_GB2312"/>
          <w:b/>
          <w:sz w:val="28"/>
          <w:szCs w:val="28"/>
        </w:rPr>
        <w:t>第十九条</w:t>
      </w:r>
      <w:r>
        <w:rPr>
          <w:rFonts w:hint="eastAsia" w:ascii="仿宋" w:hAnsi="仿宋" w:eastAsia="仿宋"/>
          <w:sz w:val="28"/>
          <w:szCs w:val="28"/>
        </w:rPr>
        <w:t xml:space="preserve"> 清洁作业区的员工应着清洁工作服，并配备帽子、口罩和工作鞋，要保持工作服使用前后相互分离。准清洁作业区、一般作业区的员工工作服应符合相应区域卫生要求，并配备帽子和工作鞋。</w:t>
      </w:r>
    </w:p>
    <w:p>
      <w:pPr>
        <w:spacing w:line="580" w:lineRule="exact"/>
        <w:ind w:left="2" w:leftChars="1" w:firstLine="562" w:firstLineChars="200"/>
        <w:outlineLvl w:val="3"/>
        <w:rPr>
          <w:rFonts w:ascii="仿宋" w:hAnsi="仿宋" w:eastAsia="仿宋"/>
          <w:sz w:val="28"/>
          <w:szCs w:val="28"/>
        </w:rPr>
      </w:pPr>
      <w:r>
        <w:rPr>
          <w:rFonts w:hint="eastAsia" w:ascii="仿宋" w:hAnsi="仿宋" w:eastAsia="仿宋" w:cs="仿宋_GB2312"/>
          <w:b/>
          <w:sz w:val="28"/>
          <w:szCs w:val="28"/>
        </w:rPr>
        <w:t>第二十条</w:t>
      </w:r>
      <w:r>
        <w:rPr>
          <w:rFonts w:hint="eastAsia" w:ascii="仿宋" w:hAnsi="仿宋" w:eastAsia="仿宋" w:cs="仿宋_GB2312"/>
          <w:sz w:val="28"/>
          <w:szCs w:val="28"/>
        </w:rPr>
        <w:t xml:space="preserve"> </w:t>
      </w:r>
      <w:r>
        <w:rPr>
          <w:rFonts w:hint="eastAsia" w:ascii="仿宋" w:hAnsi="仿宋" w:eastAsia="仿宋"/>
          <w:sz w:val="28"/>
          <w:szCs w:val="28"/>
        </w:rPr>
        <w:t>清洁作业区的温度、相对湿度应与生产工艺相适应。清洁作业区内的空气应进行杀菌消毒或净化处理，并保持正压，确保空气由高清洁区向低清洁区流动。企业的质量检验机构每月至少一次对空气洁净度进行监测。</w:t>
      </w:r>
    </w:p>
    <w:p>
      <w:pPr>
        <w:spacing w:line="580" w:lineRule="exact"/>
        <w:ind w:left="2" w:leftChars="1" w:firstLine="560" w:firstLineChars="200"/>
        <w:outlineLvl w:val="3"/>
        <w:rPr>
          <w:rFonts w:ascii="仿宋" w:hAnsi="仿宋" w:eastAsia="仿宋"/>
          <w:sz w:val="28"/>
          <w:szCs w:val="28"/>
        </w:rPr>
      </w:pPr>
      <w:r>
        <w:rPr>
          <w:rFonts w:hint="eastAsia" w:ascii="仿宋" w:hAnsi="仿宋" w:eastAsia="仿宋"/>
          <w:sz w:val="28"/>
          <w:szCs w:val="28"/>
        </w:rPr>
        <w:t>不得采用甲醛、高锰酸钾熏蒸方式对环境场所进行消毒杀菌。</w:t>
      </w:r>
    </w:p>
    <w:p>
      <w:pPr>
        <w:spacing w:line="580" w:lineRule="exact"/>
        <w:ind w:left="2" w:leftChars="1" w:firstLine="562" w:firstLineChars="200"/>
        <w:outlineLvl w:val="3"/>
        <w:rPr>
          <w:rFonts w:ascii="仿宋" w:hAnsi="仿宋" w:eastAsia="仿宋"/>
          <w:sz w:val="28"/>
          <w:szCs w:val="28"/>
        </w:rPr>
      </w:pPr>
      <w:r>
        <w:rPr>
          <w:rFonts w:hint="eastAsia" w:ascii="仿宋" w:hAnsi="仿宋" w:eastAsia="仿宋" w:cs="仿宋_GB2312"/>
          <w:b/>
          <w:sz w:val="28"/>
          <w:szCs w:val="28"/>
        </w:rPr>
        <w:t>第二十一条</w:t>
      </w:r>
      <w:r>
        <w:rPr>
          <w:rFonts w:hint="eastAsia" w:ascii="仿宋" w:hAnsi="仿宋" w:eastAsia="仿宋"/>
          <w:sz w:val="28"/>
          <w:szCs w:val="28"/>
        </w:rPr>
        <w:t xml:space="preserve"> 在有水蒸气产生而有可能污染食品的区域，应有通风设施。通风口必须装有易清洗耐腐蚀网罩。</w:t>
      </w:r>
    </w:p>
    <w:p>
      <w:pPr>
        <w:spacing w:line="580" w:lineRule="exact"/>
        <w:ind w:firstLine="562" w:firstLineChars="200"/>
        <w:rPr>
          <w:rFonts w:ascii="仿宋" w:hAnsi="仿宋" w:eastAsia="仿宋"/>
          <w:sz w:val="28"/>
          <w:szCs w:val="28"/>
        </w:rPr>
      </w:pPr>
      <w:r>
        <w:rPr>
          <w:rFonts w:hint="eastAsia" w:ascii="仿宋" w:hAnsi="仿宋" w:eastAsia="仿宋" w:cs="仿宋_GB2312"/>
          <w:b/>
          <w:sz w:val="28"/>
          <w:szCs w:val="28"/>
        </w:rPr>
        <w:t>第二十二条</w:t>
      </w:r>
      <w:r>
        <w:rPr>
          <w:rFonts w:hint="eastAsia" w:ascii="仿宋" w:hAnsi="仿宋" w:eastAsia="仿宋"/>
          <w:sz w:val="28"/>
          <w:szCs w:val="28"/>
        </w:rPr>
        <w:t xml:space="preserve"> 企业应具备满足原辅料验收、半成品控制、成品出厂检验所需，并且与生产能力相适应的检验设备、设施和试剂。</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80" w:lineRule="exact"/>
        <w:ind w:firstLine="562" w:firstLineChars="200"/>
        <w:jc w:val="center"/>
        <w:rPr>
          <w:rFonts w:ascii="仿宋" w:hAnsi="仿宋" w:eastAsia="仿宋" w:cs="仿宋_GB2312"/>
          <w:b/>
          <w:sz w:val="28"/>
          <w:szCs w:val="28"/>
        </w:rPr>
      </w:pPr>
      <w:r>
        <w:rPr>
          <w:rFonts w:hint="eastAsia" w:ascii="仿宋" w:hAnsi="仿宋" w:eastAsia="仿宋" w:cs="仿宋_GB2312"/>
          <w:b/>
          <w:sz w:val="28"/>
          <w:szCs w:val="28"/>
        </w:rPr>
        <w:t>第四章 设备布局与工艺流程</w:t>
      </w:r>
    </w:p>
    <w:p>
      <w:pPr>
        <w:spacing w:line="580" w:lineRule="exact"/>
        <w:ind w:left="2" w:leftChars="1" w:firstLine="560" w:firstLineChars="200"/>
        <w:outlineLvl w:val="3"/>
        <w:rPr>
          <w:rFonts w:ascii="仿宋" w:hAnsi="仿宋" w:eastAsia="仿宋"/>
          <w:sz w:val="28"/>
          <w:szCs w:val="28"/>
        </w:rPr>
      </w:pPr>
      <w:r>
        <w:rPr>
          <w:rFonts w:hint="eastAsia" w:ascii="仿宋" w:hAnsi="仿宋" w:eastAsia="仿宋"/>
          <w:sz w:val="28"/>
          <w:szCs w:val="28"/>
        </w:rPr>
        <w:t xml:space="preserve"> </w:t>
      </w:r>
    </w:p>
    <w:p>
      <w:pPr>
        <w:spacing w:line="580" w:lineRule="exact"/>
        <w:ind w:left="2" w:leftChars="1" w:firstLine="562" w:firstLineChars="200"/>
        <w:outlineLvl w:val="3"/>
        <w:rPr>
          <w:rFonts w:ascii="仿宋" w:hAnsi="仿宋" w:eastAsia="仿宋"/>
          <w:sz w:val="28"/>
          <w:szCs w:val="28"/>
        </w:rPr>
      </w:pPr>
      <w:r>
        <w:rPr>
          <w:rFonts w:hint="eastAsia" w:ascii="仿宋" w:hAnsi="仿宋" w:eastAsia="仿宋" w:cs="仿宋_GB2312"/>
          <w:b/>
          <w:sz w:val="28"/>
          <w:szCs w:val="28"/>
        </w:rPr>
        <w:t>第二十三条</w:t>
      </w:r>
      <w:r>
        <w:rPr>
          <w:rFonts w:hint="eastAsia" w:ascii="仿宋" w:hAnsi="仿宋" w:eastAsia="仿宋"/>
          <w:sz w:val="28"/>
          <w:szCs w:val="28"/>
        </w:rPr>
        <w:t xml:space="preserve"> 生产设备的布局、安装和维护必须符合工艺需要，便于操作、清洁、维护和消毒或灭菌。不合格、报废设备应搬出生产区，暂停使用的设备应有明显标志。</w:t>
      </w:r>
    </w:p>
    <w:p>
      <w:pPr>
        <w:spacing w:line="50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第二十四条</w:t>
      </w:r>
      <w:r>
        <w:rPr>
          <w:rFonts w:hint="eastAsia" w:ascii="仿宋" w:hAnsi="仿宋" w:eastAsia="仿宋"/>
          <w:sz w:val="28"/>
          <w:szCs w:val="28"/>
        </w:rPr>
        <w:t xml:space="preserve"> 生产设备的配备应与产品加工工艺相符。一般包括：1.原料清洗处理设备或设施；2.蒸制、炆制、干燥设备或设施；3.包装设备或设施；4.生产日期和批号标注设施。</w:t>
      </w:r>
    </w:p>
    <w:p>
      <w:pPr>
        <w:spacing w:line="620" w:lineRule="exact"/>
        <w:ind w:firstLine="560" w:firstLineChars="200"/>
        <w:jc w:val="left"/>
        <w:textAlignment w:val="center"/>
        <w:outlineLvl w:val="3"/>
        <w:rPr>
          <w:rFonts w:ascii="仿宋" w:hAnsi="仿宋" w:eastAsia="仿宋"/>
          <w:sz w:val="28"/>
          <w:szCs w:val="28"/>
        </w:rPr>
      </w:pPr>
      <w:r>
        <w:rPr>
          <w:rFonts w:hint="eastAsia" w:ascii="仿宋" w:hAnsi="仿宋" w:eastAsia="仿宋"/>
          <w:sz w:val="28"/>
          <w:szCs w:val="28"/>
        </w:rPr>
        <w:t>如果企业采用不同于表三中所列的工艺，应具备与生产工艺相适应的生产设备。</w:t>
      </w:r>
    </w:p>
    <w:p>
      <w:pPr>
        <w:spacing w:line="240" w:lineRule="exact"/>
        <w:ind w:firstLine="560" w:firstLineChars="200"/>
        <w:outlineLvl w:val="3"/>
        <w:rPr>
          <w:rFonts w:ascii="仿宋" w:hAnsi="仿宋" w:eastAsia="仿宋" w:cs="仿宋_GB2312"/>
          <w:sz w:val="28"/>
          <w:szCs w:val="28"/>
        </w:rPr>
      </w:pPr>
      <w:r>
        <w:rPr>
          <w:rFonts w:hint="eastAsia" w:ascii="仿宋" w:hAnsi="仿宋" w:eastAsia="仿宋" w:cs="仿宋_GB2312"/>
          <w:sz w:val="28"/>
          <w:szCs w:val="28"/>
        </w:rPr>
        <w:t xml:space="preserve">   </w:t>
      </w:r>
    </w:p>
    <w:p>
      <w:pPr>
        <w:ind w:firstLine="560" w:firstLineChars="200"/>
        <w:jc w:val="center"/>
        <w:outlineLvl w:val="3"/>
        <w:rPr>
          <w:rFonts w:ascii="仿宋" w:hAnsi="仿宋" w:eastAsia="仿宋"/>
          <w:sz w:val="28"/>
          <w:szCs w:val="28"/>
        </w:rPr>
      </w:pPr>
      <w:r>
        <w:rPr>
          <w:rFonts w:hint="eastAsia" w:ascii="仿宋" w:hAnsi="仿宋" w:eastAsia="仿宋"/>
          <w:sz w:val="28"/>
          <w:szCs w:val="28"/>
        </w:rPr>
        <w:t>表三 即食黄精和即食玉竹基本生产工艺和设备设施</w:t>
      </w:r>
    </w:p>
    <w:tbl>
      <w:tblPr>
        <w:tblStyle w:val="7"/>
        <w:tblW w:w="0" w:type="auto"/>
        <w:jc w:val="center"/>
        <w:tblLayout w:type="fixed"/>
        <w:tblCellMar>
          <w:top w:w="0" w:type="dxa"/>
          <w:left w:w="108" w:type="dxa"/>
          <w:bottom w:w="0" w:type="dxa"/>
          <w:right w:w="108" w:type="dxa"/>
        </w:tblCellMar>
      </w:tblPr>
      <w:tblGrid>
        <w:gridCol w:w="727"/>
        <w:gridCol w:w="1815"/>
        <w:gridCol w:w="3854"/>
        <w:gridCol w:w="2828"/>
      </w:tblGrid>
      <w:tr>
        <w:tblPrEx>
          <w:tblCellMar>
            <w:top w:w="0" w:type="dxa"/>
            <w:left w:w="108" w:type="dxa"/>
            <w:bottom w:w="0" w:type="dxa"/>
            <w:right w:w="108" w:type="dxa"/>
          </w:tblCellMar>
        </w:tblPrEx>
        <w:trPr>
          <w:trHeight w:val="540" w:hRule="atLeast"/>
          <w:jc w:val="center"/>
        </w:trPr>
        <w:tc>
          <w:tcPr>
            <w:tcW w:w="7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sz w:val="28"/>
                <w:szCs w:val="28"/>
              </w:rPr>
              <w:t>序号</w:t>
            </w:r>
          </w:p>
        </w:tc>
        <w:tc>
          <w:tcPr>
            <w:tcW w:w="1815" w:type="dxa"/>
            <w:tcBorders>
              <w:top w:val="single" w:color="000000" w:sz="4" w:space="0"/>
              <w:left w:val="nil"/>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sz w:val="28"/>
                <w:szCs w:val="28"/>
              </w:rPr>
              <w:t>基本生产工艺</w:t>
            </w:r>
          </w:p>
        </w:tc>
        <w:tc>
          <w:tcPr>
            <w:tcW w:w="3854" w:type="dxa"/>
            <w:tcBorders>
              <w:top w:val="single" w:color="000000" w:sz="4" w:space="0"/>
              <w:left w:val="nil"/>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sz w:val="28"/>
                <w:szCs w:val="28"/>
              </w:rPr>
              <w:t>生产设备设施</w:t>
            </w:r>
          </w:p>
        </w:tc>
        <w:tc>
          <w:tcPr>
            <w:tcW w:w="2828" w:type="dxa"/>
            <w:tcBorders>
              <w:top w:val="single" w:color="000000" w:sz="4" w:space="0"/>
              <w:left w:val="nil"/>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sz w:val="28"/>
                <w:szCs w:val="28"/>
              </w:rPr>
              <w:t>生产设备要求</w:t>
            </w:r>
          </w:p>
        </w:tc>
      </w:tr>
      <w:tr>
        <w:tblPrEx>
          <w:tblCellMar>
            <w:top w:w="0" w:type="dxa"/>
            <w:left w:w="108" w:type="dxa"/>
            <w:bottom w:w="0" w:type="dxa"/>
            <w:right w:w="108" w:type="dxa"/>
          </w:tblCellMar>
        </w:tblPrEx>
        <w:trPr>
          <w:trHeight w:val="446" w:hRule="atLeast"/>
          <w:jc w:val="center"/>
        </w:trPr>
        <w:tc>
          <w:tcPr>
            <w:tcW w:w="7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sz w:val="28"/>
                <w:szCs w:val="28"/>
              </w:rPr>
              <w:t>1</w:t>
            </w:r>
          </w:p>
        </w:tc>
        <w:tc>
          <w:tcPr>
            <w:tcW w:w="1815" w:type="dxa"/>
            <w:tcBorders>
              <w:top w:val="single" w:color="000000" w:sz="4" w:space="0"/>
              <w:left w:val="nil"/>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sz w:val="28"/>
                <w:szCs w:val="28"/>
              </w:rPr>
              <w:t>原料清洗、处理</w:t>
            </w:r>
          </w:p>
        </w:tc>
        <w:tc>
          <w:tcPr>
            <w:tcW w:w="3854" w:type="dxa"/>
            <w:tcBorders>
              <w:top w:val="single" w:color="000000" w:sz="4" w:space="0"/>
              <w:left w:val="nil"/>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sz w:val="28"/>
                <w:szCs w:val="28"/>
              </w:rPr>
              <w:t>清洗设备或清洗池、处理设备设施</w:t>
            </w:r>
          </w:p>
        </w:tc>
        <w:tc>
          <w:tcPr>
            <w:tcW w:w="2828" w:type="dxa"/>
            <w:tcBorders>
              <w:top w:val="single" w:color="000000" w:sz="4" w:space="0"/>
              <w:left w:val="nil"/>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p>
        </w:tc>
      </w:tr>
      <w:tr>
        <w:tblPrEx>
          <w:tblCellMar>
            <w:top w:w="0" w:type="dxa"/>
            <w:left w:w="108" w:type="dxa"/>
            <w:bottom w:w="0" w:type="dxa"/>
            <w:right w:w="108" w:type="dxa"/>
          </w:tblCellMar>
        </w:tblPrEx>
        <w:trPr>
          <w:trHeight w:val="764" w:hRule="atLeast"/>
          <w:jc w:val="center"/>
        </w:trPr>
        <w:tc>
          <w:tcPr>
            <w:tcW w:w="7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sz w:val="28"/>
                <w:szCs w:val="28"/>
              </w:rPr>
              <w:t>2</w:t>
            </w:r>
          </w:p>
        </w:tc>
        <w:tc>
          <w:tcPr>
            <w:tcW w:w="1815" w:type="dxa"/>
            <w:tcBorders>
              <w:top w:val="single" w:color="000000" w:sz="4" w:space="0"/>
              <w:left w:val="nil"/>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sz w:val="28"/>
                <w:szCs w:val="28"/>
              </w:rPr>
              <w:t>蒸制</w:t>
            </w:r>
          </w:p>
        </w:tc>
        <w:tc>
          <w:tcPr>
            <w:tcW w:w="3854" w:type="dxa"/>
            <w:tcBorders>
              <w:top w:val="single" w:color="000000" w:sz="4" w:space="0"/>
              <w:left w:val="nil"/>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sz w:val="28"/>
                <w:szCs w:val="28"/>
              </w:rPr>
              <w:t>蒸煮设备设施</w:t>
            </w:r>
          </w:p>
        </w:tc>
        <w:tc>
          <w:tcPr>
            <w:tcW w:w="2828" w:type="dxa"/>
            <w:tcBorders>
              <w:top w:val="single" w:color="000000" w:sz="4" w:space="0"/>
              <w:left w:val="nil"/>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p>
        </w:tc>
      </w:tr>
      <w:tr>
        <w:tblPrEx>
          <w:tblCellMar>
            <w:top w:w="0" w:type="dxa"/>
            <w:left w:w="108" w:type="dxa"/>
            <w:bottom w:w="0" w:type="dxa"/>
            <w:right w:w="108" w:type="dxa"/>
          </w:tblCellMar>
        </w:tblPrEx>
        <w:trPr>
          <w:trHeight w:val="634" w:hRule="atLeast"/>
          <w:jc w:val="center"/>
        </w:trPr>
        <w:tc>
          <w:tcPr>
            <w:tcW w:w="7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sz w:val="28"/>
                <w:szCs w:val="28"/>
              </w:rPr>
              <w:t>3</w:t>
            </w:r>
          </w:p>
        </w:tc>
        <w:tc>
          <w:tcPr>
            <w:tcW w:w="1815" w:type="dxa"/>
            <w:tcBorders>
              <w:top w:val="single" w:color="000000" w:sz="4" w:space="0"/>
              <w:left w:val="nil"/>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sz w:val="28"/>
                <w:szCs w:val="28"/>
              </w:rPr>
              <w:t>干燥</w:t>
            </w:r>
          </w:p>
        </w:tc>
        <w:tc>
          <w:tcPr>
            <w:tcW w:w="3854" w:type="dxa"/>
            <w:tcBorders>
              <w:top w:val="single" w:color="000000" w:sz="4" w:space="0"/>
              <w:left w:val="nil"/>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sz w:val="28"/>
                <w:szCs w:val="28"/>
              </w:rPr>
              <w:t>干燥设备设施</w:t>
            </w:r>
          </w:p>
        </w:tc>
        <w:tc>
          <w:tcPr>
            <w:tcW w:w="2828" w:type="dxa"/>
            <w:tcBorders>
              <w:top w:val="single" w:color="000000" w:sz="4" w:space="0"/>
              <w:left w:val="nil"/>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sz w:val="28"/>
                <w:szCs w:val="28"/>
              </w:rPr>
              <w:t>阳光房（棚）应有防蝇虫、防鼠设施</w:t>
            </w:r>
          </w:p>
        </w:tc>
      </w:tr>
      <w:tr>
        <w:tblPrEx>
          <w:tblCellMar>
            <w:top w:w="0" w:type="dxa"/>
            <w:left w:w="108" w:type="dxa"/>
            <w:bottom w:w="0" w:type="dxa"/>
            <w:right w:w="108" w:type="dxa"/>
          </w:tblCellMar>
        </w:tblPrEx>
        <w:trPr>
          <w:trHeight w:val="634" w:hRule="atLeast"/>
          <w:jc w:val="center"/>
        </w:trPr>
        <w:tc>
          <w:tcPr>
            <w:tcW w:w="7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sz w:val="28"/>
                <w:szCs w:val="28"/>
              </w:rPr>
              <w:t>4</w:t>
            </w:r>
          </w:p>
        </w:tc>
        <w:tc>
          <w:tcPr>
            <w:tcW w:w="1815" w:type="dxa"/>
            <w:tcBorders>
              <w:top w:val="single" w:color="000000" w:sz="4" w:space="0"/>
              <w:left w:val="nil"/>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sz w:val="28"/>
                <w:szCs w:val="28"/>
              </w:rPr>
              <w:t>炆制（有此工艺的）</w:t>
            </w:r>
          </w:p>
        </w:tc>
        <w:tc>
          <w:tcPr>
            <w:tcW w:w="3854" w:type="dxa"/>
            <w:tcBorders>
              <w:top w:val="single" w:color="000000" w:sz="4" w:space="0"/>
              <w:left w:val="nil"/>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cs="宋体"/>
                <w:sz w:val="28"/>
                <w:szCs w:val="28"/>
              </w:rPr>
              <w:t>炆</w:t>
            </w:r>
            <w:r>
              <w:rPr>
                <w:rFonts w:hint="eastAsia" w:ascii="仿宋" w:hAnsi="仿宋" w:eastAsia="仿宋"/>
                <w:sz w:val="28"/>
                <w:szCs w:val="28"/>
              </w:rPr>
              <w:t>制设备设施</w:t>
            </w:r>
          </w:p>
        </w:tc>
        <w:tc>
          <w:tcPr>
            <w:tcW w:w="2828" w:type="dxa"/>
            <w:tcBorders>
              <w:top w:val="single" w:color="000000" w:sz="4" w:space="0"/>
              <w:left w:val="nil"/>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sz w:val="28"/>
                <w:szCs w:val="28"/>
              </w:rPr>
              <w:t>加热设施应满足工艺需要</w:t>
            </w:r>
          </w:p>
        </w:tc>
      </w:tr>
      <w:tr>
        <w:tblPrEx>
          <w:tblCellMar>
            <w:top w:w="0" w:type="dxa"/>
            <w:left w:w="108" w:type="dxa"/>
            <w:bottom w:w="0" w:type="dxa"/>
            <w:right w:w="108" w:type="dxa"/>
          </w:tblCellMar>
        </w:tblPrEx>
        <w:trPr>
          <w:trHeight w:val="634" w:hRule="atLeast"/>
          <w:jc w:val="center"/>
        </w:trPr>
        <w:tc>
          <w:tcPr>
            <w:tcW w:w="7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sz w:val="28"/>
                <w:szCs w:val="28"/>
              </w:rPr>
              <w:t>5</w:t>
            </w:r>
          </w:p>
        </w:tc>
        <w:tc>
          <w:tcPr>
            <w:tcW w:w="1815" w:type="dxa"/>
            <w:tcBorders>
              <w:top w:val="single" w:color="000000" w:sz="4" w:space="0"/>
              <w:left w:val="nil"/>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sz w:val="28"/>
                <w:szCs w:val="28"/>
              </w:rPr>
              <w:t>切制成型</w:t>
            </w:r>
          </w:p>
        </w:tc>
        <w:tc>
          <w:tcPr>
            <w:tcW w:w="3854" w:type="dxa"/>
            <w:tcBorders>
              <w:top w:val="single" w:color="000000" w:sz="4" w:space="0"/>
              <w:left w:val="nil"/>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sz w:val="28"/>
                <w:szCs w:val="28"/>
              </w:rPr>
              <w:t>切制设备或工器具</w:t>
            </w:r>
          </w:p>
        </w:tc>
        <w:tc>
          <w:tcPr>
            <w:tcW w:w="2828" w:type="dxa"/>
            <w:tcBorders>
              <w:top w:val="single" w:color="000000" w:sz="4" w:space="0"/>
              <w:left w:val="nil"/>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p>
        </w:tc>
      </w:tr>
      <w:tr>
        <w:tblPrEx>
          <w:tblCellMar>
            <w:top w:w="0" w:type="dxa"/>
            <w:left w:w="108" w:type="dxa"/>
            <w:bottom w:w="0" w:type="dxa"/>
            <w:right w:w="108" w:type="dxa"/>
          </w:tblCellMar>
        </w:tblPrEx>
        <w:trPr>
          <w:trHeight w:val="634" w:hRule="atLeast"/>
          <w:jc w:val="center"/>
        </w:trPr>
        <w:tc>
          <w:tcPr>
            <w:tcW w:w="7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sz w:val="28"/>
                <w:szCs w:val="28"/>
              </w:rPr>
              <w:t>6</w:t>
            </w:r>
          </w:p>
        </w:tc>
        <w:tc>
          <w:tcPr>
            <w:tcW w:w="1815" w:type="dxa"/>
            <w:tcBorders>
              <w:top w:val="single" w:color="000000" w:sz="4" w:space="0"/>
              <w:left w:val="nil"/>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sz w:val="28"/>
                <w:szCs w:val="28"/>
              </w:rPr>
              <w:t>包装</w:t>
            </w:r>
          </w:p>
        </w:tc>
        <w:tc>
          <w:tcPr>
            <w:tcW w:w="3854" w:type="dxa"/>
            <w:tcBorders>
              <w:top w:val="single" w:color="000000" w:sz="4" w:space="0"/>
              <w:left w:val="nil"/>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r>
              <w:rPr>
                <w:rFonts w:hint="eastAsia" w:ascii="仿宋" w:hAnsi="仿宋" w:eastAsia="仿宋"/>
                <w:sz w:val="28"/>
                <w:szCs w:val="28"/>
              </w:rPr>
              <w:t>工作台、称量设施、日期标注设施、封口设施或自动包装设备</w:t>
            </w:r>
          </w:p>
        </w:tc>
        <w:tc>
          <w:tcPr>
            <w:tcW w:w="2828" w:type="dxa"/>
            <w:tcBorders>
              <w:top w:val="single" w:color="000000" w:sz="4" w:space="0"/>
              <w:left w:val="nil"/>
              <w:bottom w:val="single" w:color="000000" w:sz="4" w:space="0"/>
              <w:right w:val="single" w:color="000000" w:sz="4" w:space="0"/>
            </w:tcBorders>
            <w:vAlign w:val="center"/>
          </w:tcPr>
          <w:p>
            <w:pPr>
              <w:jc w:val="center"/>
              <w:textAlignment w:val="center"/>
              <w:outlineLvl w:val="3"/>
              <w:rPr>
                <w:rFonts w:ascii="仿宋" w:hAnsi="仿宋" w:eastAsia="仿宋"/>
                <w:sz w:val="28"/>
                <w:szCs w:val="28"/>
              </w:rPr>
            </w:pPr>
          </w:p>
        </w:tc>
      </w:tr>
    </w:tbl>
    <w:p>
      <w:pPr>
        <w:spacing w:line="58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第二十五条</w:t>
      </w:r>
      <w:r>
        <w:rPr>
          <w:rFonts w:ascii="仿宋" w:hAnsi="仿宋" w:eastAsia="仿宋" w:cs="仿宋_GB2312"/>
          <w:sz w:val="28"/>
          <w:szCs w:val="28"/>
        </w:rPr>
        <w:t xml:space="preserve"> </w:t>
      </w:r>
      <w:r>
        <w:rPr>
          <w:rFonts w:hint="eastAsia" w:ascii="仿宋" w:hAnsi="仿宋" w:eastAsia="仿宋"/>
          <w:sz w:val="28"/>
          <w:szCs w:val="28"/>
        </w:rPr>
        <w:t>企业应建立工艺文件、操作规程等生产技术文件，技术文件与实际操作应保持一致性。生产工艺和操作规程应经验证，调整产品工艺流程及设备时，应进行必要性和安全性评估验证，保证产品质量符合要求。</w:t>
      </w:r>
    </w:p>
    <w:p>
      <w:pPr>
        <w:spacing w:line="58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第二十六条</w:t>
      </w:r>
      <w:r>
        <w:rPr>
          <w:rFonts w:hint="eastAsia" w:ascii="仿宋" w:hAnsi="仿宋" w:eastAsia="仿宋"/>
          <w:sz w:val="28"/>
          <w:szCs w:val="28"/>
        </w:rPr>
        <w:t xml:space="preserve"> 鼓励采用危害分析方法明确影响产品质量的关键工序或关键点，并实施质量控制，制定操作规程。关键工序或关键点可设为：原料验收、蒸制或炆制、包装前干燥、包装，对其形成的信息建立记录系统。</w:t>
      </w:r>
    </w:p>
    <w:p>
      <w:pPr>
        <w:spacing w:line="580" w:lineRule="exact"/>
        <w:ind w:firstLine="560" w:firstLineChars="200"/>
        <w:outlineLvl w:val="3"/>
        <w:rPr>
          <w:rFonts w:ascii="仿宋" w:hAnsi="仿宋" w:eastAsia="仿宋"/>
          <w:sz w:val="28"/>
          <w:szCs w:val="28"/>
        </w:rPr>
      </w:pPr>
      <w:r>
        <w:rPr>
          <w:rFonts w:hint="eastAsia" w:ascii="仿宋" w:hAnsi="仿宋" w:eastAsia="仿宋"/>
          <w:sz w:val="28"/>
          <w:szCs w:val="28"/>
        </w:rPr>
        <w:t xml:space="preserve"> </w:t>
      </w:r>
    </w:p>
    <w:p>
      <w:pPr>
        <w:spacing w:line="580" w:lineRule="exact"/>
        <w:ind w:firstLine="562" w:firstLineChars="200"/>
        <w:jc w:val="center"/>
        <w:outlineLvl w:val="3"/>
        <w:rPr>
          <w:rFonts w:ascii="仿宋" w:hAnsi="仿宋" w:eastAsia="仿宋" w:cs="仿宋_GB2312"/>
          <w:b/>
          <w:sz w:val="28"/>
          <w:szCs w:val="28"/>
        </w:rPr>
      </w:pPr>
      <w:r>
        <w:rPr>
          <w:rFonts w:hint="eastAsia" w:ascii="仿宋" w:hAnsi="仿宋" w:eastAsia="仿宋" w:cs="仿宋_GB2312"/>
          <w:b/>
          <w:sz w:val="28"/>
          <w:szCs w:val="28"/>
        </w:rPr>
        <w:t>第五章 人员管理</w:t>
      </w:r>
    </w:p>
    <w:p>
      <w:pPr>
        <w:spacing w:line="58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 </w:t>
      </w:r>
    </w:p>
    <w:p>
      <w:pPr>
        <w:spacing w:line="580" w:lineRule="exact"/>
        <w:ind w:firstLine="562" w:firstLineChars="200"/>
        <w:rPr>
          <w:rFonts w:ascii="仿宋" w:hAnsi="仿宋" w:eastAsia="仿宋"/>
          <w:sz w:val="28"/>
          <w:szCs w:val="28"/>
        </w:rPr>
      </w:pPr>
      <w:r>
        <w:rPr>
          <w:rFonts w:hint="eastAsia" w:ascii="仿宋" w:hAnsi="仿宋" w:eastAsia="仿宋" w:cs="仿宋_GB2312"/>
          <w:b/>
          <w:sz w:val="28"/>
          <w:szCs w:val="28"/>
        </w:rPr>
        <w:t>第二十七条</w:t>
      </w:r>
      <w:r>
        <w:rPr>
          <w:rFonts w:hint="eastAsia" w:ascii="仿宋" w:hAnsi="仿宋" w:eastAsia="仿宋"/>
          <w:sz w:val="28"/>
          <w:szCs w:val="28"/>
        </w:rPr>
        <w:t xml:space="preserve"> 企业应设置独立的食品质量安全管理机构，负责食品质量安全管理制度的建立、实施和持续改进。</w:t>
      </w:r>
    </w:p>
    <w:p>
      <w:pPr>
        <w:spacing w:line="58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第二十八条</w:t>
      </w:r>
      <w:r>
        <w:rPr>
          <w:rFonts w:hint="eastAsia" w:ascii="仿宋" w:hAnsi="仿宋" w:eastAsia="仿宋"/>
          <w:sz w:val="28"/>
          <w:szCs w:val="28"/>
        </w:rPr>
        <w:t xml:space="preserve"> 企业应建立人员管理制度，各岗位人员的数量和能力应与企业规模、工艺、设备水平相适应，与产品质量相关的岗位应设置岗位责任。</w:t>
      </w:r>
    </w:p>
    <w:p>
      <w:pPr>
        <w:spacing w:line="580" w:lineRule="exact"/>
        <w:ind w:firstLine="562" w:firstLineChars="200"/>
        <w:rPr>
          <w:rFonts w:ascii="仿宋" w:hAnsi="仿宋" w:eastAsia="仿宋"/>
          <w:sz w:val="28"/>
          <w:szCs w:val="28"/>
        </w:rPr>
      </w:pPr>
      <w:r>
        <w:rPr>
          <w:rFonts w:hint="eastAsia" w:ascii="仿宋" w:hAnsi="仿宋" w:eastAsia="仿宋" w:cs="仿宋_GB2312"/>
          <w:b/>
          <w:sz w:val="28"/>
          <w:szCs w:val="28"/>
        </w:rPr>
        <w:t>第二十九条</w:t>
      </w:r>
      <w:r>
        <w:rPr>
          <w:rFonts w:hint="eastAsia" w:ascii="仿宋" w:hAnsi="仿宋" w:eastAsia="仿宋"/>
          <w:sz w:val="28"/>
          <w:szCs w:val="28"/>
        </w:rPr>
        <w:t xml:space="preserve"> 企业负责人和食品安全管理人员，应具有食品或者药品生产工作经历，掌握即食黄精和即食玉竹食品的质量安全知识，知晓应承担的责任和义务。食品安全管理人员应有食品、医药、营养学或相关专业大专以上学历，并经过培训和考核，经考核不具备食品安全管理能力的，不得上岗。企业主要负责人应当组织落实食品安全管理制度，对本企业的食品安全工作全面负责。食品安全管理人员应确保每批产品符合食品安全国家标准和国家相关法律法规的要求，承担原辅料进厂查验和成品出厂的放行责任。</w:t>
      </w:r>
    </w:p>
    <w:p>
      <w:pPr>
        <w:spacing w:line="580" w:lineRule="exact"/>
        <w:ind w:firstLine="554" w:firstLineChars="197"/>
        <w:rPr>
          <w:rFonts w:ascii="仿宋" w:hAnsi="仿宋" w:eastAsia="仿宋"/>
          <w:color w:val="FF0000"/>
          <w:sz w:val="28"/>
          <w:szCs w:val="28"/>
        </w:rPr>
      </w:pPr>
      <w:r>
        <w:rPr>
          <w:rFonts w:hint="eastAsia" w:ascii="仿宋" w:hAnsi="仿宋" w:eastAsia="仿宋" w:cs="仿宋_GB2312"/>
          <w:b/>
          <w:sz w:val="28"/>
          <w:szCs w:val="28"/>
        </w:rPr>
        <w:t>第三十条</w:t>
      </w:r>
      <w:r>
        <w:rPr>
          <w:rFonts w:hint="eastAsia" w:ascii="仿宋" w:hAnsi="仿宋" w:eastAsia="仿宋"/>
          <w:sz w:val="28"/>
          <w:szCs w:val="28"/>
        </w:rPr>
        <w:t xml:space="preserve"> 生产管理人员应有食品、医药、营养学或相关专业教育经历，或具有食品或者药品生产的工作经历和生产管理经验；采购人员应具备辨别原料黄精、玉竹的能力；生产操作人员应掌握生产工艺操作规程，熟练操作生产设备设施。</w:t>
      </w:r>
      <w:r>
        <w:rPr>
          <w:rFonts w:hint="eastAsia" w:ascii="仿宋" w:hAnsi="仿宋" w:eastAsia="仿宋"/>
          <w:color w:val="FF0000"/>
          <w:sz w:val="28"/>
          <w:szCs w:val="28"/>
        </w:rPr>
        <w:t xml:space="preserve"> </w:t>
      </w:r>
    </w:p>
    <w:p>
      <w:pPr>
        <w:spacing w:line="580" w:lineRule="exact"/>
        <w:ind w:firstLine="562" w:firstLineChars="200"/>
        <w:outlineLvl w:val="3"/>
        <w:rPr>
          <w:rFonts w:ascii="仿宋" w:hAnsi="仿宋" w:eastAsia="仿宋"/>
          <w:kern w:val="0"/>
          <w:sz w:val="28"/>
          <w:szCs w:val="28"/>
        </w:rPr>
      </w:pPr>
      <w:r>
        <w:rPr>
          <w:rFonts w:hint="eastAsia" w:ascii="仿宋" w:hAnsi="仿宋" w:eastAsia="仿宋" w:cs="仿宋_GB2312"/>
          <w:b/>
          <w:sz w:val="28"/>
          <w:szCs w:val="28"/>
        </w:rPr>
        <w:t>第三十一条</w:t>
      </w:r>
      <w:r>
        <w:rPr>
          <w:rFonts w:hint="eastAsia" w:ascii="仿宋" w:hAnsi="仿宋" w:eastAsia="仿宋"/>
          <w:sz w:val="28"/>
          <w:szCs w:val="28"/>
        </w:rPr>
        <w:t xml:space="preserve"> 从事检测的人员应具有食品相关检测工作经历，经专业培训合格，持证上岗。</w:t>
      </w:r>
    </w:p>
    <w:p>
      <w:pPr>
        <w:spacing w:line="580" w:lineRule="exact"/>
        <w:ind w:firstLine="562" w:firstLineChars="200"/>
        <w:rPr>
          <w:rFonts w:ascii="仿宋" w:hAnsi="仿宋" w:eastAsia="仿宋"/>
          <w:sz w:val="28"/>
          <w:szCs w:val="28"/>
        </w:rPr>
      </w:pPr>
      <w:r>
        <w:rPr>
          <w:rFonts w:hint="eastAsia" w:ascii="仿宋" w:hAnsi="仿宋" w:eastAsia="仿宋" w:cs="仿宋_GB2312"/>
          <w:b/>
          <w:sz w:val="28"/>
          <w:szCs w:val="28"/>
        </w:rPr>
        <w:t>第三十二条</w:t>
      </w:r>
      <w:r>
        <w:rPr>
          <w:rFonts w:hint="eastAsia" w:ascii="仿宋" w:hAnsi="仿宋" w:eastAsia="仿宋"/>
          <w:kern w:val="0"/>
          <w:sz w:val="28"/>
          <w:szCs w:val="28"/>
        </w:rPr>
        <w:t xml:space="preserve"> </w:t>
      </w:r>
      <w:r>
        <w:rPr>
          <w:rFonts w:hint="eastAsia" w:ascii="仿宋" w:hAnsi="仿宋" w:eastAsia="仿宋"/>
          <w:sz w:val="28"/>
          <w:szCs w:val="28"/>
        </w:rPr>
        <w:t>企业应建立食品加工人员健康管理制度，食品加工人员每年应当进行健康检查，取得健康证明后方可从事食品加工。建立人员健康检查记录，保证食品加工人员患有法律法规规定的有碍食品安全的疾病时，应及时调整到其他不影响食品安全的工作岗位。</w:t>
      </w:r>
    </w:p>
    <w:p>
      <w:pPr>
        <w:spacing w:line="580" w:lineRule="exact"/>
        <w:ind w:firstLine="560" w:firstLineChars="200"/>
        <w:outlineLvl w:val="3"/>
        <w:rPr>
          <w:rFonts w:ascii="仿宋" w:hAnsi="仿宋" w:eastAsia="仿宋"/>
          <w:sz w:val="28"/>
          <w:szCs w:val="28"/>
        </w:rPr>
      </w:pPr>
      <w:r>
        <w:rPr>
          <w:rFonts w:hint="eastAsia" w:ascii="仿宋" w:hAnsi="仿宋" w:eastAsia="仿宋"/>
          <w:sz w:val="28"/>
          <w:szCs w:val="28"/>
        </w:rPr>
        <w:t xml:space="preserve"> </w:t>
      </w:r>
    </w:p>
    <w:p>
      <w:pPr>
        <w:spacing w:line="580" w:lineRule="exact"/>
        <w:ind w:firstLine="562" w:firstLineChars="200"/>
        <w:jc w:val="center"/>
        <w:outlineLvl w:val="3"/>
        <w:rPr>
          <w:rFonts w:ascii="仿宋" w:hAnsi="仿宋" w:eastAsia="仿宋" w:cs="仿宋_GB2312"/>
          <w:b/>
          <w:sz w:val="28"/>
          <w:szCs w:val="28"/>
        </w:rPr>
      </w:pPr>
      <w:r>
        <w:rPr>
          <w:rFonts w:hint="eastAsia" w:ascii="仿宋" w:hAnsi="仿宋" w:eastAsia="仿宋" w:cs="仿宋_GB2312"/>
          <w:b/>
          <w:sz w:val="28"/>
          <w:szCs w:val="28"/>
        </w:rPr>
        <w:t>第六章 管理制度</w:t>
      </w:r>
    </w:p>
    <w:p>
      <w:pPr>
        <w:spacing w:line="580" w:lineRule="exact"/>
        <w:ind w:firstLine="560" w:firstLineChars="200"/>
        <w:jc w:val="left"/>
        <w:outlineLvl w:val="3"/>
        <w:rPr>
          <w:rFonts w:ascii="仿宋" w:hAnsi="仿宋" w:eastAsia="仿宋"/>
          <w:sz w:val="28"/>
          <w:szCs w:val="28"/>
        </w:rPr>
      </w:pPr>
      <w:r>
        <w:rPr>
          <w:rFonts w:hint="eastAsia" w:ascii="仿宋" w:hAnsi="仿宋" w:eastAsia="仿宋"/>
          <w:sz w:val="28"/>
          <w:szCs w:val="28"/>
        </w:rPr>
        <w:t xml:space="preserve"> </w:t>
      </w:r>
    </w:p>
    <w:p>
      <w:pPr>
        <w:spacing w:line="580" w:lineRule="exact"/>
        <w:ind w:firstLine="562" w:firstLineChars="200"/>
        <w:jc w:val="left"/>
        <w:outlineLvl w:val="3"/>
        <w:rPr>
          <w:rFonts w:ascii="仿宋" w:hAnsi="仿宋" w:eastAsia="仿宋"/>
          <w:sz w:val="28"/>
          <w:szCs w:val="28"/>
        </w:rPr>
      </w:pPr>
      <w:r>
        <w:rPr>
          <w:rFonts w:hint="eastAsia" w:ascii="仿宋" w:hAnsi="仿宋" w:eastAsia="仿宋" w:cs="仿宋_GB2312"/>
          <w:b/>
          <w:sz w:val="28"/>
          <w:szCs w:val="28"/>
        </w:rPr>
        <w:t>第三十三条</w:t>
      </w:r>
      <w:r>
        <w:rPr>
          <w:rFonts w:hint="eastAsia" w:ascii="仿宋" w:hAnsi="仿宋" w:eastAsia="仿宋"/>
          <w:sz w:val="28"/>
          <w:szCs w:val="28"/>
        </w:rPr>
        <w:t xml:space="preserve"> 制定原辅料的采购管理制度，保证原辅料符合国家法律法规和标准要求，并经企业质量安全管理部门批准后方可采购。主要原料供应商应相对固定并签订质量协议，在协议中应明确双方所承担的质量责任。</w:t>
      </w:r>
    </w:p>
    <w:p>
      <w:pPr>
        <w:spacing w:line="580" w:lineRule="exact"/>
        <w:ind w:firstLine="562" w:firstLineChars="200"/>
        <w:jc w:val="left"/>
        <w:outlineLvl w:val="3"/>
        <w:rPr>
          <w:rFonts w:ascii="仿宋" w:hAnsi="仿宋" w:eastAsia="仿宋"/>
          <w:sz w:val="28"/>
          <w:szCs w:val="28"/>
        </w:rPr>
      </w:pPr>
      <w:r>
        <w:rPr>
          <w:rFonts w:hint="eastAsia" w:ascii="仿宋" w:hAnsi="仿宋" w:eastAsia="仿宋" w:cs="仿宋_GB2312"/>
          <w:b/>
          <w:sz w:val="28"/>
          <w:szCs w:val="28"/>
        </w:rPr>
        <w:t>第三十四条</w:t>
      </w:r>
      <w:r>
        <w:rPr>
          <w:rFonts w:hint="eastAsia" w:ascii="仿宋" w:hAnsi="仿宋" w:eastAsia="仿宋"/>
          <w:sz w:val="28"/>
          <w:szCs w:val="28"/>
        </w:rPr>
        <w:t xml:space="preserve"> 制定原辅料供应商审核制度和审核办法，对原辅料供应商的审核至少应包括：供应商的资质证明文件、质量标准、检验报告。</w:t>
      </w:r>
    </w:p>
    <w:p>
      <w:pPr>
        <w:tabs>
          <w:tab w:val="left" w:pos="0"/>
          <w:tab w:val="left" w:pos="425"/>
        </w:tabs>
        <w:spacing w:line="500" w:lineRule="exact"/>
        <w:ind w:firstLine="562" w:firstLineChars="200"/>
        <w:jc w:val="left"/>
        <w:outlineLvl w:val="3"/>
        <w:rPr>
          <w:rFonts w:ascii="仿宋" w:hAnsi="仿宋" w:eastAsia="仿宋"/>
          <w:sz w:val="28"/>
          <w:szCs w:val="28"/>
        </w:rPr>
      </w:pPr>
      <w:r>
        <w:rPr>
          <w:rFonts w:hint="eastAsia" w:ascii="仿宋" w:hAnsi="仿宋" w:eastAsia="仿宋" w:cs="仿宋_GB2312"/>
          <w:b/>
          <w:sz w:val="28"/>
          <w:szCs w:val="28"/>
        </w:rPr>
        <w:t>第三十五条</w:t>
      </w:r>
      <w:r>
        <w:rPr>
          <w:rFonts w:hint="eastAsia" w:ascii="仿宋" w:hAnsi="仿宋" w:eastAsia="仿宋"/>
          <w:sz w:val="28"/>
          <w:szCs w:val="28"/>
        </w:rPr>
        <w:t xml:space="preserve"> 应当建立食品原辅料、食品相关产品进货查验记录制度，如实记录食品原辅料、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pPr>
        <w:spacing w:line="58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第三十六条</w:t>
      </w:r>
      <w:r>
        <w:rPr>
          <w:rFonts w:hint="eastAsia" w:ascii="仿宋" w:hAnsi="仿宋" w:eastAsia="仿宋"/>
          <w:sz w:val="28"/>
          <w:szCs w:val="28"/>
        </w:rPr>
        <w:t xml:space="preserve"> 原辅料的验收标准和检验方法应符合国家法律法规和标准的要求，即食黄精和即食玉竹食品生产所需主要原辅料及包材涉及的主要标准见附件二。</w:t>
      </w:r>
    </w:p>
    <w:p>
      <w:pPr>
        <w:spacing w:line="58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第三十七条</w:t>
      </w:r>
      <w:r>
        <w:rPr>
          <w:rFonts w:hint="eastAsia" w:ascii="仿宋" w:hAnsi="仿宋" w:eastAsia="仿宋"/>
          <w:sz w:val="28"/>
          <w:szCs w:val="28"/>
        </w:rPr>
        <w:t xml:space="preserve"> 包装材料应清洁、无毒且符合国家相关标准及规定，在特定贮存和使用条件下不应影响食品安全和产品特性，包装材料不得重复使用。</w:t>
      </w:r>
    </w:p>
    <w:p>
      <w:pPr>
        <w:spacing w:line="58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第三十八条</w:t>
      </w:r>
      <w:r>
        <w:rPr>
          <w:rFonts w:hint="eastAsia" w:ascii="仿宋" w:hAnsi="仿宋" w:eastAsia="仿宋"/>
          <w:sz w:val="28"/>
          <w:szCs w:val="28"/>
        </w:rPr>
        <w:t xml:space="preserve"> 按照《食品安全国家标准 食品生产通用卫生规范》（GB 14881），建立防止微生物污染、化学污染、物理污染的控制制度。</w:t>
      </w:r>
    </w:p>
    <w:p>
      <w:pPr>
        <w:spacing w:line="580" w:lineRule="exact"/>
        <w:ind w:firstLine="562" w:firstLineChars="200"/>
        <w:jc w:val="left"/>
        <w:outlineLvl w:val="3"/>
        <w:rPr>
          <w:rFonts w:ascii="仿宋" w:hAnsi="仿宋" w:eastAsia="仿宋"/>
          <w:sz w:val="28"/>
          <w:szCs w:val="28"/>
        </w:rPr>
      </w:pPr>
      <w:r>
        <w:rPr>
          <w:rFonts w:hint="eastAsia" w:ascii="仿宋" w:hAnsi="仿宋" w:eastAsia="仿宋" w:cs="仿宋_GB2312"/>
          <w:b/>
          <w:sz w:val="28"/>
          <w:szCs w:val="28"/>
        </w:rPr>
        <w:t>第三十九条</w:t>
      </w:r>
      <w:r>
        <w:rPr>
          <w:rFonts w:hint="eastAsia" w:ascii="仿宋" w:hAnsi="仿宋" w:eastAsia="仿宋"/>
          <w:sz w:val="28"/>
          <w:szCs w:val="28"/>
        </w:rPr>
        <w:t xml:space="preserve"> 企业应建立产品追溯制度，产品从原材料采购、生产加工、出厂检验到出厂销售都应有记录，保障各个环节可有效追溯。</w:t>
      </w:r>
    </w:p>
    <w:p>
      <w:pPr>
        <w:spacing w:line="58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第四十条</w:t>
      </w:r>
      <w:r>
        <w:rPr>
          <w:rFonts w:hint="eastAsia" w:ascii="仿宋" w:hAnsi="仿宋" w:eastAsia="仿宋"/>
          <w:sz w:val="28"/>
          <w:szCs w:val="28"/>
        </w:rPr>
        <w:t xml:space="preserve"> 所有物料应规定适当的贮存期限，遵循“先进先出”或“近有效期先出”的原则制定物料的使用计划，定期检查质量和卫生情况，及时清理且不得使用变质或超过保质期的食品原辅料。</w:t>
      </w:r>
    </w:p>
    <w:p>
      <w:pPr>
        <w:spacing w:line="580" w:lineRule="exact"/>
        <w:ind w:firstLine="562" w:firstLineChars="200"/>
        <w:rPr>
          <w:rFonts w:ascii="仿宋" w:hAnsi="仿宋" w:eastAsia="仿宋"/>
          <w:sz w:val="28"/>
          <w:szCs w:val="28"/>
        </w:rPr>
      </w:pPr>
      <w:r>
        <w:rPr>
          <w:rFonts w:hint="eastAsia" w:ascii="仿宋" w:hAnsi="仿宋" w:eastAsia="仿宋" w:cs="仿宋_GB2312"/>
          <w:b/>
          <w:sz w:val="28"/>
          <w:szCs w:val="28"/>
        </w:rPr>
        <w:t>第四十一条</w:t>
      </w:r>
      <w:r>
        <w:rPr>
          <w:rFonts w:hint="eastAsia" w:ascii="仿宋" w:hAnsi="仿宋" w:eastAsia="仿宋"/>
          <w:sz w:val="28"/>
          <w:szCs w:val="28"/>
        </w:rPr>
        <w:t xml:space="preserve"> 应制定工作服的清洗保洁制度，生产中应注意保持工作服干净完好，必要时及时更换。生产人员在未消毒和更换工作服前，不得进行即食黄精和即食玉竹的加工、生产。清洁作业区及准清洁作业区使用的工作服和工作鞋不得在指定区域以外的地方穿着。</w:t>
      </w:r>
    </w:p>
    <w:p>
      <w:pPr>
        <w:spacing w:line="580" w:lineRule="exact"/>
        <w:ind w:firstLine="562" w:firstLineChars="200"/>
        <w:jc w:val="left"/>
        <w:outlineLvl w:val="3"/>
        <w:rPr>
          <w:rFonts w:ascii="仿宋" w:hAnsi="仿宋" w:eastAsia="仿宋"/>
          <w:sz w:val="28"/>
          <w:szCs w:val="28"/>
        </w:rPr>
      </w:pPr>
      <w:r>
        <w:rPr>
          <w:rFonts w:hint="eastAsia" w:ascii="仿宋" w:hAnsi="仿宋" w:eastAsia="仿宋" w:cs="仿宋_GB2312"/>
          <w:b/>
          <w:sz w:val="28"/>
          <w:szCs w:val="28"/>
        </w:rPr>
        <w:t>第四十二条</w:t>
      </w:r>
      <w:r>
        <w:rPr>
          <w:rFonts w:hint="eastAsia" w:ascii="仿宋" w:hAnsi="仿宋" w:eastAsia="仿宋"/>
          <w:sz w:val="28"/>
          <w:szCs w:val="28"/>
        </w:rPr>
        <w:t xml:space="preserve"> 建立生产设备管理制度，设备台账、说明书、档案应保管齐全；制定设备使用、清洁、维护和维修的操作规程，并保存相应的操作记录。生产前应检查设备是否处于正常状态，出现故障应及时排除并记录。维修后的设备应进行验证或确认，确保各项性能满足工艺要求。</w:t>
      </w:r>
    </w:p>
    <w:p>
      <w:pPr>
        <w:spacing w:line="60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第四十三条</w:t>
      </w:r>
      <w:r>
        <w:rPr>
          <w:rFonts w:hint="eastAsia" w:ascii="仿宋" w:hAnsi="仿宋" w:eastAsia="仿宋"/>
          <w:sz w:val="28"/>
          <w:szCs w:val="28"/>
        </w:rPr>
        <w:t xml:space="preserve"> 应对生产过程的半成品进行过程监测，控制产品质量稳定性。采用晒干工艺生产的，应对最后一次干燥工序的半成品微生物进行监测，必要时增加半成品或成品杀菌消毒。 </w:t>
      </w:r>
    </w:p>
    <w:p>
      <w:pPr>
        <w:spacing w:line="60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第四十四条</w:t>
      </w:r>
      <w:r>
        <w:rPr>
          <w:rFonts w:hint="eastAsia" w:ascii="仿宋" w:hAnsi="仿宋" w:eastAsia="仿宋"/>
          <w:sz w:val="28"/>
          <w:szCs w:val="28"/>
        </w:rPr>
        <w:t xml:space="preserve"> 已清洗与未清洗的生产用具不能共用同一储存区域，清洗后的用具应能尽快干燥并在适宜的环境下保存。</w:t>
      </w:r>
    </w:p>
    <w:p>
      <w:pPr>
        <w:spacing w:line="58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第四十五条</w:t>
      </w:r>
      <w:r>
        <w:rPr>
          <w:rFonts w:hint="eastAsia" w:ascii="仿宋" w:hAnsi="仿宋" w:eastAsia="仿宋"/>
          <w:sz w:val="28"/>
          <w:szCs w:val="28"/>
        </w:rPr>
        <w:t xml:space="preserve">  建立产品防护管理制度，有效防止产品在生产加工中的污染、损坏或变质。</w:t>
      </w:r>
    </w:p>
    <w:p>
      <w:pPr>
        <w:tabs>
          <w:tab w:val="left" w:pos="0"/>
          <w:tab w:val="left" w:pos="425"/>
        </w:tabs>
        <w:spacing w:line="50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第四十六条</w:t>
      </w:r>
      <w:r>
        <w:rPr>
          <w:rFonts w:hint="eastAsia" w:ascii="仿宋" w:hAnsi="仿宋" w:eastAsia="仿宋"/>
          <w:sz w:val="28"/>
          <w:szCs w:val="28"/>
        </w:rPr>
        <w:t xml:space="preserve"> 应建立运输管理制度，不得将原辅料、产品与有毒有害物品一同运输。运输工具、车辆应定期检查卫生清洁情况，运输条件应符合物料的贮存要求（温、湿度等）。</w:t>
      </w:r>
    </w:p>
    <w:p>
      <w:pPr>
        <w:tabs>
          <w:tab w:val="left" w:pos="0"/>
          <w:tab w:val="left" w:pos="425"/>
        </w:tabs>
        <w:spacing w:line="50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第四十七条</w:t>
      </w:r>
      <w:r>
        <w:rPr>
          <w:rFonts w:hint="eastAsia" w:ascii="仿宋" w:hAnsi="仿宋" w:eastAsia="仿宋"/>
          <w:sz w:val="28"/>
          <w:szCs w:val="28"/>
        </w:rPr>
        <w:t xml:space="preserve"> 建立检验管理制度，检验记录应真实、准确。产品出厂检验应依据产品执行标准规定的出厂检验项目进行每批次检验，并按执行标准规定的型式检验频率进行所有项目的检验。</w:t>
      </w:r>
    </w:p>
    <w:p>
      <w:pPr>
        <w:spacing w:line="580" w:lineRule="exact"/>
        <w:ind w:firstLine="560" w:firstLineChars="200"/>
        <w:outlineLvl w:val="3"/>
        <w:rPr>
          <w:rFonts w:ascii="仿宋" w:hAnsi="仿宋" w:eastAsia="仿宋"/>
          <w:sz w:val="28"/>
          <w:szCs w:val="28"/>
        </w:rPr>
      </w:pPr>
      <w:r>
        <w:rPr>
          <w:rFonts w:hint="eastAsia" w:ascii="仿宋" w:hAnsi="仿宋" w:eastAsia="仿宋"/>
          <w:sz w:val="28"/>
          <w:szCs w:val="28"/>
        </w:rPr>
        <w:t>产品留样间应满足产品贮存条件要求，留样数量应满足复检要求并保存至保质期满，并有记录。</w:t>
      </w:r>
    </w:p>
    <w:p>
      <w:pPr>
        <w:spacing w:line="58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第四十八条</w:t>
      </w:r>
      <w:r>
        <w:rPr>
          <w:rFonts w:hint="eastAsia" w:ascii="仿宋" w:hAnsi="仿宋" w:eastAsia="仿宋"/>
          <w:sz w:val="28"/>
          <w:szCs w:val="28"/>
        </w:rPr>
        <w:t xml:space="preserve"> 企业可以使用快速检测方法及设备进行产品检验，但应保证数据准确，应定期与食品安全国家标准规定的检验方法进行比对或者验证，当检验结果呈阳性或可疑时，应使用食品安全国家标准规定的检验方法进行确认。</w:t>
      </w:r>
    </w:p>
    <w:p>
      <w:pPr>
        <w:spacing w:line="580" w:lineRule="exact"/>
        <w:ind w:firstLine="562" w:firstLineChars="200"/>
        <w:rPr>
          <w:rFonts w:ascii="仿宋" w:hAnsi="仿宋" w:eastAsia="仿宋"/>
          <w:sz w:val="28"/>
          <w:szCs w:val="28"/>
        </w:rPr>
      </w:pPr>
      <w:r>
        <w:rPr>
          <w:rFonts w:hint="eastAsia" w:ascii="仿宋" w:hAnsi="仿宋" w:eastAsia="仿宋" w:cs="仿宋_GB2312"/>
          <w:b/>
          <w:sz w:val="28"/>
          <w:szCs w:val="28"/>
        </w:rPr>
        <w:t>第四十九条</w:t>
      </w:r>
      <w:r>
        <w:rPr>
          <w:rFonts w:hint="eastAsia" w:ascii="仿宋" w:hAnsi="仿宋" w:eastAsia="仿宋"/>
          <w:sz w:val="28"/>
          <w:szCs w:val="28"/>
        </w:rPr>
        <w:t xml:space="preserve"> 建立产品召回制度。对召回的食品采取补救、无害化处理、销毁等措施，记录召回和处理情况，并应当向所在地县级人民政府市场监管部门报告。</w:t>
      </w:r>
    </w:p>
    <w:p>
      <w:pPr>
        <w:spacing w:line="580" w:lineRule="exact"/>
        <w:ind w:firstLine="562" w:firstLineChars="200"/>
        <w:rPr>
          <w:rFonts w:ascii="仿宋" w:hAnsi="仿宋" w:eastAsia="仿宋"/>
          <w:sz w:val="28"/>
          <w:szCs w:val="28"/>
        </w:rPr>
      </w:pPr>
      <w:r>
        <w:rPr>
          <w:rFonts w:hint="eastAsia" w:ascii="仿宋" w:hAnsi="仿宋" w:eastAsia="仿宋" w:cs="仿宋_GB2312"/>
          <w:b/>
          <w:sz w:val="28"/>
          <w:szCs w:val="28"/>
        </w:rPr>
        <w:t>第五十条</w:t>
      </w:r>
      <w:r>
        <w:rPr>
          <w:rFonts w:hint="eastAsia" w:ascii="仿宋" w:hAnsi="仿宋" w:eastAsia="仿宋"/>
          <w:sz w:val="28"/>
          <w:szCs w:val="28"/>
        </w:rPr>
        <w:t xml:space="preserve"> 制定原辅料、半成品和成品的不合格品管理制度及相关处理办法，建立和保存不合格品处理过程记录。</w:t>
      </w:r>
    </w:p>
    <w:p>
      <w:pPr>
        <w:spacing w:line="58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第五十一条</w:t>
      </w:r>
      <w:r>
        <w:rPr>
          <w:rFonts w:hint="eastAsia" w:ascii="仿宋" w:hAnsi="仿宋" w:eastAsia="仿宋"/>
          <w:sz w:val="28"/>
          <w:szCs w:val="28"/>
        </w:rPr>
        <w:t xml:space="preserve"> 企业应当按照卫生规范的要求建立与所生产食品相适应的生产质量管理体系，定期对该体系的运行情况进行自查，保证其有效运行，防范风险。</w:t>
      </w:r>
    </w:p>
    <w:p>
      <w:pPr>
        <w:spacing w:line="580" w:lineRule="exact"/>
        <w:ind w:firstLine="562" w:firstLineChars="200"/>
        <w:rPr>
          <w:rFonts w:ascii="仿宋" w:hAnsi="仿宋" w:eastAsia="仿宋"/>
          <w:sz w:val="28"/>
          <w:szCs w:val="28"/>
        </w:rPr>
      </w:pPr>
      <w:r>
        <w:rPr>
          <w:rFonts w:hint="eastAsia" w:ascii="仿宋" w:hAnsi="仿宋" w:eastAsia="仿宋" w:cs="仿宋_GB2312"/>
          <w:b/>
          <w:sz w:val="28"/>
          <w:szCs w:val="28"/>
        </w:rPr>
        <w:t>第五十二条</w:t>
      </w:r>
      <w:r>
        <w:rPr>
          <w:rFonts w:hint="eastAsia" w:ascii="仿宋" w:hAnsi="仿宋" w:eastAsia="仿宋"/>
          <w:sz w:val="28"/>
          <w:szCs w:val="28"/>
        </w:rPr>
        <w:t xml:space="preserve"> 建立消费者投诉处理制度。对消费者提出的意见、投诉等，企业相关管理部门应作记录，并查找原因，妥善处理。</w:t>
      </w:r>
    </w:p>
    <w:p>
      <w:pPr>
        <w:spacing w:line="580" w:lineRule="exact"/>
        <w:ind w:firstLine="562" w:firstLineChars="200"/>
        <w:rPr>
          <w:rFonts w:ascii="仿宋" w:hAnsi="仿宋" w:eastAsia="仿宋"/>
          <w:sz w:val="28"/>
          <w:szCs w:val="28"/>
        </w:rPr>
      </w:pPr>
      <w:r>
        <w:rPr>
          <w:rFonts w:hint="eastAsia" w:ascii="仿宋" w:hAnsi="仿宋" w:eastAsia="仿宋" w:cs="仿宋_GB2312"/>
          <w:b/>
          <w:sz w:val="28"/>
          <w:szCs w:val="28"/>
        </w:rPr>
        <w:t>第五十三条</w:t>
      </w:r>
      <w:r>
        <w:rPr>
          <w:rFonts w:hint="eastAsia" w:ascii="仿宋" w:hAnsi="仿宋" w:eastAsia="仿宋"/>
          <w:sz w:val="28"/>
          <w:szCs w:val="28"/>
        </w:rPr>
        <w:t xml:space="preserve"> 建立食品安全事故处理制度，应有食品安全事故处置记录。</w:t>
      </w:r>
    </w:p>
    <w:p>
      <w:pPr>
        <w:spacing w:line="58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第五十四条</w:t>
      </w:r>
      <w:r>
        <w:rPr>
          <w:rFonts w:hint="eastAsia" w:ascii="仿宋" w:hAnsi="仿宋" w:eastAsia="仿宋"/>
          <w:sz w:val="28"/>
          <w:szCs w:val="28"/>
        </w:rPr>
        <w:t xml:space="preserve"> 建立检验设备管理制度，应有检验设备台账及设备使用记录，定期校准、维护检验设备和设施，保持检验设备的准确有效运行。</w:t>
      </w:r>
    </w:p>
    <w:p>
      <w:pPr>
        <w:spacing w:line="58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第五十五条</w:t>
      </w:r>
      <w:r>
        <w:rPr>
          <w:rFonts w:hint="eastAsia" w:ascii="仿宋" w:hAnsi="仿宋" w:eastAsia="仿宋"/>
          <w:sz w:val="28"/>
          <w:szCs w:val="28"/>
        </w:rPr>
        <w:t xml:space="preserve"> 建立文件管理制度，企业质量管理机构应对质量文件的有效性负责，质量文件的起草、修订、审核、批准应由相关人员签名或电子流程审核，并注明日期。</w:t>
      </w:r>
    </w:p>
    <w:p>
      <w:pPr>
        <w:spacing w:line="58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第五十六条</w:t>
      </w:r>
      <w:r>
        <w:rPr>
          <w:rFonts w:hint="eastAsia" w:ascii="仿宋" w:hAnsi="仿宋" w:eastAsia="仿宋"/>
          <w:sz w:val="28"/>
          <w:szCs w:val="28"/>
        </w:rPr>
        <w:t xml:space="preserve"> 建立记录管理制度。记录应当覆盖食品生产全过程，做到真实、准确、规范并具有可追溯性，记录和凭证保存期限不得少于产品保质期满后6个月。</w:t>
      </w:r>
    </w:p>
    <w:p>
      <w:pPr>
        <w:spacing w:line="580" w:lineRule="exact"/>
        <w:ind w:firstLine="560" w:firstLineChars="200"/>
        <w:outlineLvl w:val="3"/>
        <w:rPr>
          <w:rFonts w:ascii="仿宋" w:hAnsi="仿宋" w:eastAsia="仿宋"/>
          <w:sz w:val="28"/>
          <w:szCs w:val="28"/>
        </w:rPr>
      </w:pPr>
      <w:r>
        <w:rPr>
          <w:rFonts w:hint="eastAsia" w:ascii="仿宋" w:hAnsi="仿宋" w:eastAsia="仿宋"/>
          <w:sz w:val="28"/>
          <w:szCs w:val="28"/>
        </w:rPr>
        <w:t xml:space="preserve"> 食品原辅料、食品相关产品采购记录：包括供应商评价记录、合格供应商名单、采购合同、进货台账、采购查验记录、供应商证明。</w:t>
      </w:r>
    </w:p>
    <w:p>
      <w:pPr>
        <w:spacing w:line="580" w:lineRule="exact"/>
        <w:ind w:firstLine="560" w:firstLineChars="200"/>
        <w:outlineLvl w:val="3"/>
        <w:rPr>
          <w:rFonts w:ascii="仿宋" w:hAnsi="仿宋" w:eastAsia="仿宋"/>
          <w:sz w:val="28"/>
          <w:szCs w:val="28"/>
        </w:rPr>
      </w:pPr>
      <w:r>
        <w:rPr>
          <w:rFonts w:hint="eastAsia" w:ascii="仿宋" w:hAnsi="仿宋" w:eastAsia="仿宋"/>
          <w:sz w:val="28"/>
          <w:szCs w:val="28"/>
        </w:rPr>
        <w:t>生产过程及安全防护记录：包括人员培训及考核、人员健康检查、人员卫生、环境场所清洁、除虫灭害、设备设施维护保养、设备设施清洗消毒、生产投料及各关键控制点记录、物料出入库、成品出入库、不合格原辅材料处置、不合格产品处理、停产复产等记录。</w:t>
      </w:r>
    </w:p>
    <w:p>
      <w:pPr>
        <w:spacing w:line="580" w:lineRule="exact"/>
        <w:ind w:firstLine="560" w:firstLineChars="200"/>
        <w:outlineLvl w:val="3"/>
        <w:rPr>
          <w:rFonts w:ascii="仿宋" w:hAnsi="仿宋" w:eastAsia="仿宋"/>
          <w:sz w:val="28"/>
          <w:szCs w:val="28"/>
        </w:rPr>
      </w:pPr>
      <w:r>
        <w:rPr>
          <w:rFonts w:hint="eastAsia" w:ascii="仿宋" w:hAnsi="仿宋" w:eastAsia="仿宋"/>
          <w:sz w:val="28"/>
          <w:szCs w:val="28"/>
        </w:rPr>
        <w:t>检验记录：建立和保存出厂检验原始记录、检验报告和出厂查验记录。如实记录食品的名称、规格、数量、生产日期或者生产批号、保质期、检验合格证号、销售日期以及购货者名称、地址、联系方式等内容，检验批次号和检验合格证号可追溯到相应的出厂检验报告。</w:t>
      </w:r>
    </w:p>
    <w:p>
      <w:pPr>
        <w:spacing w:line="580" w:lineRule="exact"/>
        <w:ind w:firstLine="560" w:firstLineChars="200"/>
        <w:outlineLvl w:val="3"/>
        <w:rPr>
          <w:rFonts w:ascii="仿宋" w:hAnsi="仿宋" w:eastAsia="仿宋"/>
          <w:sz w:val="28"/>
          <w:szCs w:val="28"/>
        </w:rPr>
      </w:pPr>
      <w:r>
        <w:rPr>
          <w:rFonts w:hint="eastAsia" w:ascii="仿宋" w:hAnsi="仿宋" w:eastAsia="仿宋"/>
          <w:sz w:val="28"/>
          <w:szCs w:val="28"/>
        </w:rPr>
        <w:t xml:space="preserve"> 其他记录：包括成品生产、成品销售、产品召回、退货处置、消费者投诉受理、食品安全事故处置等记录。</w:t>
      </w:r>
    </w:p>
    <w:p>
      <w:pPr>
        <w:spacing w:line="58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第五十七条</w:t>
      </w:r>
      <w:r>
        <w:rPr>
          <w:rFonts w:hint="eastAsia" w:ascii="仿宋" w:hAnsi="仿宋" w:eastAsia="仿宋"/>
          <w:sz w:val="28"/>
          <w:szCs w:val="28"/>
        </w:rPr>
        <w:t xml:space="preserve"> 鼓励建立产品信息网站查询系统，提供标签、外包装、质量标准、出厂检验结果等信息，方便消费者查询。</w:t>
      </w:r>
    </w:p>
    <w:p>
      <w:pPr>
        <w:spacing w:line="580" w:lineRule="exact"/>
        <w:ind w:firstLine="560" w:firstLineChars="200"/>
        <w:jc w:val="center"/>
        <w:outlineLvl w:val="3"/>
        <w:rPr>
          <w:rFonts w:ascii="仿宋" w:hAnsi="仿宋" w:eastAsia="仿宋"/>
          <w:sz w:val="28"/>
          <w:szCs w:val="28"/>
        </w:rPr>
      </w:pPr>
      <w:r>
        <w:rPr>
          <w:rFonts w:hint="eastAsia" w:ascii="仿宋" w:hAnsi="仿宋" w:eastAsia="仿宋"/>
          <w:sz w:val="28"/>
          <w:szCs w:val="28"/>
        </w:rPr>
        <w:t xml:space="preserve"> </w:t>
      </w:r>
    </w:p>
    <w:p>
      <w:pPr>
        <w:spacing w:line="580" w:lineRule="exact"/>
        <w:ind w:firstLine="562" w:firstLineChars="200"/>
        <w:jc w:val="center"/>
        <w:outlineLvl w:val="3"/>
        <w:rPr>
          <w:rFonts w:ascii="仿宋" w:hAnsi="仿宋" w:eastAsia="仿宋" w:cs="仿宋_GB2312"/>
          <w:b/>
          <w:sz w:val="28"/>
          <w:szCs w:val="28"/>
        </w:rPr>
      </w:pPr>
      <w:r>
        <w:rPr>
          <w:rFonts w:hint="eastAsia" w:ascii="仿宋" w:hAnsi="仿宋" w:eastAsia="仿宋" w:cs="仿宋_GB2312"/>
          <w:b/>
          <w:sz w:val="28"/>
          <w:szCs w:val="28"/>
        </w:rPr>
        <w:t>第七章 试制产品检验合格报告</w:t>
      </w:r>
    </w:p>
    <w:p>
      <w:pPr>
        <w:spacing w:line="580" w:lineRule="exact"/>
        <w:ind w:firstLine="560" w:firstLineChars="200"/>
        <w:jc w:val="center"/>
        <w:outlineLvl w:val="3"/>
        <w:rPr>
          <w:rFonts w:ascii="仿宋" w:hAnsi="仿宋" w:eastAsia="仿宋"/>
          <w:sz w:val="28"/>
          <w:szCs w:val="28"/>
        </w:rPr>
      </w:pPr>
      <w:r>
        <w:rPr>
          <w:rFonts w:hint="eastAsia" w:ascii="仿宋" w:hAnsi="仿宋" w:eastAsia="仿宋"/>
          <w:sz w:val="28"/>
          <w:szCs w:val="28"/>
        </w:rPr>
        <w:t xml:space="preserve"> </w:t>
      </w:r>
    </w:p>
    <w:p>
      <w:pPr>
        <w:tabs>
          <w:tab w:val="left" w:pos="0"/>
          <w:tab w:val="left" w:pos="425"/>
        </w:tabs>
        <w:spacing w:line="500" w:lineRule="exact"/>
        <w:ind w:firstLine="562" w:firstLineChars="200"/>
        <w:outlineLvl w:val="3"/>
        <w:rPr>
          <w:rFonts w:ascii="仿宋" w:hAnsi="仿宋" w:eastAsia="仿宋"/>
          <w:sz w:val="28"/>
          <w:szCs w:val="28"/>
        </w:rPr>
      </w:pPr>
      <w:r>
        <w:rPr>
          <w:rFonts w:hint="eastAsia" w:ascii="仿宋" w:hAnsi="仿宋" w:eastAsia="仿宋" w:cs="仿宋_GB2312"/>
          <w:b/>
          <w:sz w:val="28"/>
          <w:szCs w:val="28"/>
        </w:rPr>
        <w:t>第五十八条</w:t>
      </w:r>
      <w:r>
        <w:rPr>
          <w:rFonts w:hint="eastAsia" w:ascii="仿宋" w:hAnsi="仿宋" w:eastAsia="仿宋"/>
          <w:sz w:val="28"/>
          <w:szCs w:val="28"/>
        </w:rPr>
        <w:t xml:space="preserve"> 企业提供试制产品的检验合格报告。试制产品检验合格报告可以由申请人自行检验，或者委托有资质的食品检验机构出具。检验项目应包含标准、法律法规及相关部门公告规定的全部项目。试制产品的检验项目应包含附件一中所列项目。</w:t>
      </w:r>
    </w:p>
    <w:p>
      <w:pPr>
        <w:tabs>
          <w:tab w:val="left" w:pos="0"/>
          <w:tab w:val="left" w:pos="425"/>
        </w:tabs>
        <w:spacing w:line="500" w:lineRule="exact"/>
        <w:ind w:firstLine="560" w:firstLineChars="200"/>
        <w:outlineLvl w:val="3"/>
        <w:rPr>
          <w:rFonts w:ascii="仿宋" w:hAnsi="仿宋" w:eastAsia="仿宋"/>
          <w:sz w:val="28"/>
          <w:szCs w:val="28"/>
        </w:rPr>
      </w:pPr>
    </w:p>
    <w:p>
      <w:pPr>
        <w:spacing w:line="580" w:lineRule="exact"/>
        <w:ind w:firstLine="562" w:firstLineChars="200"/>
        <w:jc w:val="center"/>
        <w:outlineLvl w:val="3"/>
        <w:rPr>
          <w:rFonts w:ascii="仿宋" w:hAnsi="仿宋" w:eastAsia="仿宋" w:cs="仿宋_GB2312"/>
          <w:b/>
          <w:sz w:val="28"/>
          <w:szCs w:val="28"/>
        </w:rPr>
      </w:pPr>
      <w:r>
        <w:rPr>
          <w:rFonts w:hint="eastAsia" w:ascii="仿宋" w:hAnsi="仿宋" w:eastAsia="仿宋" w:cs="仿宋_GB2312"/>
          <w:b/>
          <w:sz w:val="28"/>
          <w:szCs w:val="28"/>
        </w:rPr>
        <w:t>第八章 附则</w:t>
      </w:r>
    </w:p>
    <w:p>
      <w:pPr>
        <w:spacing w:line="580" w:lineRule="exact"/>
        <w:ind w:firstLine="560" w:firstLineChars="200"/>
        <w:jc w:val="center"/>
        <w:outlineLvl w:val="3"/>
        <w:rPr>
          <w:rFonts w:ascii="仿宋" w:hAnsi="仿宋" w:eastAsia="仿宋" w:cs="仿宋_GB2312"/>
          <w:sz w:val="28"/>
          <w:szCs w:val="28"/>
        </w:rPr>
      </w:pPr>
    </w:p>
    <w:p>
      <w:pPr>
        <w:spacing w:line="580" w:lineRule="exact"/>
        <w:ind w:firstLine="562" w:firstLineChars="200"/>
        <w:jc w:val="left"/>
        <w:outlineLvl w:val="3"/>
        <w:rPr>
          <w:rFonts w:ascii="仿宋" w:hAnsi="仿宋" w:eastAsia="仿宋"/>
          <w:sz w:val="28"/>
          <w:szCs w:val="28"/>
        </w:rPr>
      </w:pPr>
      <w:r>
        <w:rPr>
          <w:rFonts w:hint="eastAsia" w:ascii="仿宋" w:hAnsi="仿宋" w:eastAsia="仿宋" w:cs="仿宋_GB2312"/>
          <w:b/>
          <w:sz w:val="28"/>
          <w:szCs w:val="28"/>
        </w:rPr>
        <w:t>第五十九条</w:t>
      </w:r>
      <w:r>
        <w:rPr>
          <w:rFonts w:hint="eastAsia" w:ascii="仿宋" w:hAnsi="仿宋" w:eastAsia="仿宋"/>
          <w:sz w:val="28"/>
          <w:szCs w:val="28"/>
        </w:rPr>
        <w:t xml:space="preserve"> 本规范自发布之日起实施。</w:t>
      </w:r>
    </w:p>
    <w:p>
      <w:pPr>
        <w:spacing w:line="580" w:lineRule="exact"/>
        <w:ind w:firstLine="560" w:firstLineChars="200"/>
        <w:jc w:val="center"/>
        <w:outlineLvl w:val="3"/>
        <w:rPr>
          <w:rFonts w:ascii="仿宋" w:hAnsi="仿宋" w:eastAsia="仿宋"/>
          <w:sz w:val="28"/>
          <w:szCs w:val="28"/>
        </w:rPr>
      </w:pPr>
      <w:r>
        <w:rPr>
          <w:rFonts w:hint="eastAsia" w:ascii="仿宋" w:hAnsi="仿宋" w:eastAsia="仿宋"/>
          <w:sz w:val="28"/>
          <w:szCs w:val="28"/>
        </w:rPr>
        <w:t xml:space="preserve"> </w:t>
      </w:r>
    </w:p>
    <w:p>
      <w:pPr>
        <w:rPr>
          <w:rFonts w:ascii="仿宋" w:hAnsi="仿宋" w:eastAsia="仿宋" w:cs="仿宋_GB2312"/>
          <w:bCs/>
          <w:sz w:val="28"/>
          <w:szCs w:val="28"/>
        </w:rPr>
      </w:pPr>
      <w:r>
        <w:rPr>
          <w:rFonts w:ascii="仿宋" w:hAnsi="仿宋" w:eastAsia="仿宋"/>
          <w:kern w:val="0"/>
          <w:sz w:val="28"/>
          <w:szCs w:val="28"/>
        </w:rPr>
        <w:br w:type="page"/>
      </w:r>
      <w:r>
        <w:rPr>
          <w:rFonts w:hint="eastAsia" w:ascii="仿宋" w:hAnsi="仿宋" w:eastAsia="仿宋" w:cs="仿宋_GB2312"/>
          <w:bCs/>
          <w:sz w:val="28"/>
          <w:szCs w:val="28"/>
        </w:rPr>
        <w:t xml:space="preserve">附件一： </w:t>
      </w:r>
    </w:p>
    <w:p>
      <w:pPr>
        <w:jc w:val="center"/>
        <w:rPr>
          <w:rFonts w:ascii="仿宋" w:hAnsi="仿宋" w:eastAsia="仿宋" w:cs="仿宋_GB2312"/>
          <w:b/>
          <w:bCs/>
          <w:sz w:val="28"/>
          <w:szCs w:val="28"/>
        </w:rPr>
      </w:pPr>
      <w:r>
        <w:rPr>
          <w:rFonts w:hint="eastAsia" w:ascii="仿宋" w:hAnsi="仿宋" w:eastAsia="仿宋" w:cs="仿宋_GB2312"/>
          <w:b/>
          <w:bCs/>
          <w:sz w:val="28"/>
          <w:szCs w:val="28"/>
        </w:rPr>
        <w:t>即食黄精和即食玉竹试制产品应包含的检验项目及限量指标</w:t>
      </w:r>
    </w:p>
    <w:p>
      <w:pPr>
        <w:tabs>
          <w:tab w:val="left" w:pos="0"/>
          <w:tab w:val="left" w:pos="425"/>
        </w:tabs>
        <w:spacing w:line="500" w:lineRule="exact"/>
        <w:outlineLvl w:val="3"/>
        <w:rPr>
          <w:rFonts w:ascii="仿宋" w:hAnsi="仿宋" w:eastAsia="仿宋"/>
          <w:b/>
          <w:bCs/>
          <w:sz w:val="28"/>
          <w:szCs w:val="28"/>
        </w:rPr>
      </w:pPr>
      <w:r>
        <w:rPr>
          <w:rFonts w:hint="eastAsia" w:ascii="仿宋" w:hAnsi="仿宋" w:eastAsia="仿宋" w:cs="仿宋"/>
          <w:b/>
          <w:bCs/>
          <w:kern w:val="0"/>
          <w:sz w:val="28"/>
          <w:szCs w:val="28"/>
        </w:rPr>
        <w:t>一、理化指标</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254"/>
        <w:gridCol w:w="1530"/>
        <w:gridCol w:w="1980"/>
        <w:gridCol w:w="262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5" w:hRule="atLeast"/>
          <w:tblHeader/>
          <w:jc w:val="center"/>
        </w:trPr>
        <w:tc>
          <w:tcPr>
            <w:tcW w:w="3254" w:type="dxa"/>
            <w:tcBorders>
              <w:top w:val="single" w:color="auto" w:sz="8" w:space="0"/>
              <w:left w:val="single" w:color="auto" w:sz="8" w:space="0"/>
              <w:bottom w:val="single" w:color="auto" w:sz="8" w:space="0"/>
              <w:right w:val="single" w:color="auto" w:sz="4" w:space="0"/>
            </w:tcBorders>
            <w:shd w:val="clear" w:color="auto" w:fill="FFFFFF"/>
            <w:vAlign w:val="center"/>
          </w:tcPr>
          <w:p>
            <w:pPr>
              <w:tabs>
                <w:tab w:val="left" w:pos="0"/>
                <w:tab w:val="left" w:pos="425"/>
              </w:tabs>
              <w:spacing w:line="500" w:lineRule="exact"/>
              <w:ind w:firstLine="560" w:firstLineChars="200"/>
              <w:jc w:val="center"/>
              <w:outlineLvl w:val="3"/>
              <w:rPr>
                <w:rFonts w:ascii="仿宋" w:hAnsi="仿宋" w:eastAsia="仿宋" w:cs="仿宋"/>
                <w:kern w:val="0"/>
                <w:sz w:val="28"/>
                <w:szCs w:val="28"/>
              </w:rPr>
            </w:pPr>
            <w:r>
              <w:rPr>
                <w:rFonts w:hint="eastAsia" w:ascii="仿宋" w:hAnsi="仿宋" w:eastAsia="仿宋" w:cs="仿宋"/>
                <w:kern w:val="0"/>
                <w:sz w:val="28"/>
                <w:szCs w:val="28"/>
              </w:rPr>
              <w:t>检测项目</w:t>
            </w:r>
          </w:p>
        </w:tc>
        <w:tc>
          <w:tcPr>
            <w:tcW w:w="1530" w:type="dxa"/>
            <w:tcBorders>
              <w:top w:val="single" w:color="auto" w:sz="8" w:space="0"/>
              <w:left w:val="single" w:color="auto" w:sz="4" w:space="0"/>
              <w:bottom w:val="single" w:color="auto" w:sz="8" w:space="0"/>
              <w:right w:val="single" w:color="auto" w:sz="8" w:space="0"/>
            </w:tcBorders>
            <w:shd w:val="clear" w:color="auto" w:fill="FFFFFF"/>
            <w:vAlign w:val="center"/>
          </w:tcPr>
          <w:p>
            <w:pPr>
              <w:tabs>
                <w:tab w:val="left" w:pos="0"/>
                <w:tab w:val="left" w:pos="425"/>
              </w:tabs>
              <w:spacing w:line="500" w:lineRule="exact"/>
              <w:jc w:val="center"/>
              <w:outlineLvl w:val="3"/>
              <w:rPr>
                <w:rFonts w:ascii="仿宋" w:hAnsi="仿宋" w:eastAsia="仿宋" w:cs="仿宋"/>
                <w:kern w:val="0"/>
                <w:sz w:val="28"/>
                <w:szCs w:val="28"/>
              </w:rPr>
            </w:pPr>
            <w:r>
              <w:rPr>
                <w:rFonts w:hint="eastAsia" w:ascii="仿宋" w:hAnsi="仿宋" w:eastAsia="仿宋" w:cs="仿宋"/>
                <w:kern w:val="0"/>
                <w:sz w:val="28"/>
                <w:szCs w:val="28"/>
              </w:rPr>
              <w:t>限量指标</w:t>
            </w:r>
          </w:p>
        </w:tc>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tabs>
                <w:tab w:val="left" w:pos="0"/>
                <w:tab w:val="left" w:pos="425"/>
              </w:tabs>
              <w:spacing w:line="500" w:lineRule="exact"/>
              <w:jc w:val="center"/>
              <w:outlineLvl w:val="3"/>
              <w:rPr>
                <w:rFonts w:ascii="仿宋" w:hAnsi="仿宋" w:eastAsia="仿宋" w:cs="仿宋"/>
                <w:kern w:val="0"/>
                <w:sz w:val="28"/>
                <w:szCs w:val="28"/>
              </w:rPr>
            </w:pPr>
            <w:r>
              <w:rPr>
                <w:rFonts w:hint="eastAsia" w:ascii="仿宋" w:hAnsi="仿宋" w:eastAsia="仿宋" w:cs="仿宋"/>
                <w:kern w:val="0"/>
                <w:sz w:val="28"/>
                <w:szCs w:val="28"/>
              </w:rPr>
              <w:t>检测方法</w:t>
            </w:r>
          </w:p>
        </w:tc>
        <w:tc>
          <w:tcPr>
            <w:tcW w:w="2623" w:type="dxa"/>
            <w:tcBorders>
              <w:top w:val="single" w:color="auto" w:sz="8" w:space="0"/>
              <w:left w:val="single" w:color="auto" w:sz="8" w:space="0"/>
              <w:bottom w:val="single" w:color="auto" w:sz="8" w:space="0"/>
              <w:right w:val="single" w:color="auto" w:sz="8" w:space="0"/>
            </w:tcBorders>
            <w:shd w:val="clear" w:color="auto" w:fill="FFFFFF"/>
            <w:vAlign w:val="center"/>
          </w:tcPr>
          <w:p>
            <w:pPr>
              <w:tabs>
                <w:tab w:val="left" w:pos="0"/>
                <w:tab w:val="left" w:pos="425"/>
              </w:tabs>
              <w:spacing w:line="500" w:lineRule="exact"/>
              <w:jc w:val="center"/>
              <w:outlineLvl w:val="3"/>
              <w:rPr>
                <w:rFonts w:ascii="仿宋" w:hAnsi="仿宋" w:eastAsia="仿宋" w:cs="仿宋"/>
                <w:kern w:val="0"/>
                <w:sz w:val="28"/>
                <w:szCs w:val="28"/>
              </w:rPr>
            </w:pPr>
            <w:r>
              <w:rPr>
                <w:rFonts w:hint="eastAsia" w:ascii="仿宋" w:hAnsi="仿宋" w:eastAsia="仿宋" w:cs="仿宋"/>
                <w:kern w:val="0"/>
                <w:sz w:val="28"/>
                <w:szCs w:val="2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254" w:type="dxa"/>
            <w:tcBorders>
              <w:top w:val="single" w:color="auto" w:sz="4" w:space="0"/>
              <w:left w:val="single" w:color="auto" w:sz="8" w:space="0"/>
              <w:bottom w:val="single" w:color="auto" w:sz="4" w:space="0"/>
              <w:right w:val="single" w:color="auto" w:sz="4" w:space="0"/>
            </w:tcBorders>
            <w:shd w:val="clear" w:color="auto" w:fill="FFFFFF"/>
          </w:tcPr>
          <w:p>
            <w:pPr>
              <w:pStyle w:val="11"/>
              <w:tabs>
                <w:tab w:val="center" w:pos="4201"/>
                <w:tab w:val="right" w:leader="dot" w:pos="9298"/>
              </w:tabs>
              <w:ind w:left="1960" w:hanging="1960" w:hangingChars="700"/>
              <w:jc w:val="left"/>
              <w:rPr>
                <w:rFonts w:ascii="仿宋" w:hAnsi="仿宋" w:eastAsia="仿宋" w:cs="仿宋"/>
                <w:sz w:val="28"/>
                <w:szCs w:val="28"/>
              </w:rPr>
            </w:pPr>
            <w:r>
              <w:rPr>
                <w:rFonts w:hint="eastAsia" w:ascii="仿宋" w:hAnsi="仿宋" w:eastAsia="仿宋" w:cs="仿宋"/>
                <w:sz w:val="28"/>
                <w:szCs w:val="28"/>
              </w:rPr>
              <w:t xml:space="preserve">水分/（g/100g）   ≤                        </w:t>
            </w:r>
          </w:p>
        </w:tc>
        <w:tc>
          <w:tcPr>
            <w:tcW w:w="1530" w:type="dxa"/>
            <w:tcBorders>
              <w:top w:val="single" w:color="auto" w:sz="4" w:space="0"/>
              <w:left w:val="single" w:color="auto" w:sz="4" w:space="0"/>
              <w:bottom w:val="single" w:color="auto" w:sz="4" w:space="0"/>
              <w:right w:val="single" w:color="auto" w:sz="8" w:space="0"/>
            </w:tcBorders>
            <w:shd w:val="clear" w:color="auto" w:fill="FFFFFF"/>
          </w:tcPr>
          <w:p>
            <w:pPr>
              <w:pStyle w:val="11"/>
              <w:tabs>
                <w:tab w:val="center" w:pos="4201"/>
                <w:tab w:val="right" w:leader="dot" w:pos="9298"/>
              </w:tabs>
              <w:ind w:firstLine="0" w:firstLineChars="0"/>
              <w:jc w:val="center"/>
              <w:rPr>
                <w:rFonts w:ascii="仿宋" w:hAnsi="仿宋" w:eastAsia="仿宋" w:cs="仿宋"/>
                <w:sz w:val="28"/>
                <w:szCs w:val="28"/>
              </w:rPr>
            </w:pPr>
            <w:r>
              <w:rPr>
                <w:rFonts w:hint="eastAsia" w:ascii="仿宋" w:hAnsi="仿宋" w:eastAsia="仿宋" w:cs="仿宋"/>
                <w:sz w:val="28"/>
                <w:szCs w:val="28"/>
              </w:rPr>
              <w:t>/</w:t>
            </w:r>
          </w:p>
        </w:tc>
        <w:tc>
          <w:tcPr>
            <w:tcW w:w="1980" w:type="dxa"/>
            <w:tcBorders>
              <w:top w:val="single" w:color="auto" w:sz="8" w:space="0"/>
              <w:left w:val="single" w:color="auto" w:sz="8" w:space="0"/>
              <w:bottom w:val="single" w:color="auto" w:sz="8" w:space="0"/>
              <w:right w:val="single" w:color="auto" w:sz="8" w:space="0"/>
            </w:tcBorders>
            <w:shd w:val="clear" w:color="auto" w:fill="FFFFFF"/>
          </w:tcPr>
          <w:p>
            <w:pPr>
              <w:pStyle w:val="11"/>
              <w:tabs>
                <w:tab w:val="center" w:pos="4201"/>
                <w:tab w:val="right" w:leader="dot" w:pos="9298"/>
              </w:tabs>
              <w:ind w:firstLine="0" w:firstLineChars="0"/>
              <w:rPr>
                <w:rFonts w:ascii="仿宋" w:hAnsi="仿宋" w:eastAsia="仿宋" w:cs="仿宋"/>
                <w:sz w:val="28"/>
                <w:szCs w:val="28"/>
              </w:rPr>
            </w:pPr>
            <w:r>
              <w:rPr>
                <w:rFonts w:hint="eastAsia" w:ascii="仿宋" w:hAnsi="仿宋" w:eastAsia="仿宋" w:cs="仿宋"/>
                <w:sz w:val="28"/>
                <w:szCs w:val="28"/>
              </w:rPr>
              <w:t>GB 5009.3</w:t>
            </w:r>
          </w:p>
        </w:tc>
        <w:tc>
          <w:tcPr>
            <w:tcW w:w="2623" w:type="dxa"/>
            <w:tcBorders>
              <w:top w:val="single" w:color="auto" w:sz="8" w:space="0"/>
              <w:left w:val="single" w:color="auto" w:sz="8" w:space="0"/>
              <w:bottom w:val="single" w:color="auto" w:sz="8" w:space="0"/>
              <w:right w:val="single" w:color="auto" w:sz="8" w:space="0"/>
            </w:tcBorders>
            <w:shd w:val="clear" w:color="auto" w:fill="FFFFFF"/>
            <w:vAlign w:val="center"/>
          </w:tcPr>
          <w:p>
            <w:pPr>
              <w:tabs>
                <w:tab w:val="left" w:pos="0"/>
                <w:tab w:val="left" w:pos="425"/>
              </w:tabs>
              <w:spacing w:line="500" w:lineRule="exact"/>
              <w:jc w:val="center"/>
              <w:outlineLvl w:val="3"/>
              <w:rPr>
                <w:rFonts w:ascii="仿宋" w:hAnsi="仿宋" w:eastAsia="仿宋" w:cs="仿宋"/>
                <w:kern w:val="0"/>
                <w:sz w:val="28"/>
                <w:szCs w:val="28"/>
              </w:rPr>
            </w:pPr>
            <w:r>
              <w:rPr>
                <w:rFonts w:hint="eastAsia" w:ascii="仿宋" w:hAnsi="仿宋" w:eastAsia="仿宋" w:cs="仿宋"/>
                <w:kern w:val="0"/>
                <w:sz w:val="28"/>
                <w:szCs w:val="28"/>
              </w:rPr>
              <w:t>企业自定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254" w:type="dxa"/>
            <w:tcBorders>
              <w:top w:val="single" w:color="auto" w:sz="4" w:space="0"/>
              <w:left w:val="single" w:color="auto" w:sz="8" w:space="0"/>
              <w:bottom w:val="single" w:color="auto" w:sz="4" w:space="0"/>
              <w:right w:val="single" w:color="auto" w:sz="4" w:space="0"/>
            </w:tcBorders>
            <w:shd w:val="clear" w:color="auto" w:fill="FFFFFF"/>
            <w:vAlign w:val="center"/>
          </w:tcPr>
          <w:p>
            <w:pPr>
              <w:pStyle w:val="11"/>
              <w:tabs>
                <w:tab w:val="center" w:pos="4201"/>
                <w:tab w:val="right" w:leader="dot" w:pos="9298"/>
              </w:tabs>
              <w:ind w:firstLine="0" w:firstLineChars="0"/>
              <w:jc w:val="left"/>
              <w:rPr>
                <w:rFonts w:ascii="仿宋" w:hAnsi="仿宋" w:eastAsia="仿宋" w:cs="仿宋"/>
                <w:sz w:val="28"/>
                <w:szCs w:val="28"/>
              </w:rPr>
            </w:pPr>
            <w:r>
              <w:rPr>
                <w:rFonts w:hint="eastAsia" w:ascii="仿宋" w:hAnsi="仿宋" w:eastAsia="仿宋" w:cs="仿宋"/>
                <w:sz w:val="28"/>
                <w:szCs w:val="28"/>
              </w:rPr>
              <w:t xml:space="preserve">二氧化硫残留量/（g/kg ）         ≤              </w:t>
            </w:r>
          </w:p>
        </w:tc>
        <w:tc>
          <w:tcPr>
            <w:tcW w:w="1530" w:type="dxa"/>
            <w:tcBorders>
              <w:top w:val="single" w:color="auto" w:sz="4" w:space="0"/>
              <w:left w:val="single" w:color="auto" w:sz="4" w:space="0"/>
              <w:bottom w:val="single" w:color="auto" w:sz="4" w:space="0"/>
              <w:right w:val="single" w:color="auto" w:sz="8" w:space="0"/>
            </w:tcBorders>
            <w:shd w:val="clear" w:color="auto" w:fill="FFFFFF"/>
            <w:vAlign w:val="center"/>
          </w:tcPr>
          <w:p>
            <w:pPr>
              <w:pStyle w:val="11"/>
              <w:tabs>
                <w:tab w:val="center" w:pos="4201"/>
                <w:tab w:val="right" w:leader="dot" w:pos="9298"/>
              </w:tabs>
              <w:ind w:firstLine="0" w:firstLineChars="0"/>
              <w:jc w:val="center"/>
              <w:rPr>
                <w:rFonts w:ascii="仿宋" w:hAnsi="仿宋" w:eastAsia="仿宋" w:cs="仿宋"/>
                <w:sz w:val="28"/>
                <w:szCs w:val="28"/>
              </w:rPr>
            </w:pPr>
            <w:r>
              <w:rPr>
                <w:rFonts w:hint="eastAsia" w:ascii="仿宋" w:hAnsi="仿宋" w:eastAsia="仿宋" w:cs="仿宋"/>
                <w:sz w:val="28"/>
                <w:szCs w:val="28"/>
              </w:rPr>
              <w:t>0.1</w:t>
            </w:r>
          </w:p>
        </w:tc>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11"/>
              <w:tabs>
                <w:tab w:val="center" w:pos="4201"/>
                <w:tab w:val="right" w:leader="dot" w:pos="9298"/>
              </w:tabs>
              <w:ind w:firstLine="0" w:firstLineChars="0"/>
              <w:rPr>
                <w:rFonts w:ascii="仿宋" w:hAnsi="仿宋" w:eastAsia="仿宋" w:cs="仿宋"/>
                <w:sz w:val="28"/>
                <w:szCs w:val="28"/>
              </w:rPr>
            </w:pPr>
            <w:r>
              <w:rPr>
                <w:rFonts w:hint="eastAsia" w:ascii="仿宋" w:hAnsi="仿宋" w:eastAsia="仿宋" w:cs="仿宋"/>
                <w:sz w:val="28"/>
                <w:szCs w:val="28"/>
              </w:rPr>
              <w:t>GB 5009.34</w:t>
            </w:r>
          </w:p>
        </w:tc>
        <w:tc>
          <w:tcPr>
            <w:tcW w:w="26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11"/>
              <w:tabs>
                <w:tab w:val="center" w:pos="4201"/>
                <w:tab w:val="right" w:leader="dot" w:pos="9298"/>
              </w:tabs>
              <w:ind w:firstLine="0" w:firstLineChars="0"/>
              <w:jc w:val="center"/>
              <w:rPr>
                <w:rFonts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254" w:type="dxa"/>
            <w:tcBorders>
              <w:top w:val="single" w:color="auto" w:sz="4" w:space="0"/>
              <w:left w:val="single" w:color="auto" w:sz="8" w:space="0"/>
              <w:bottom w:val="single" w:color="auto" w:sz="4" w:space="0"/>
              <w:right w:val="single" w:color="auto" w:sz="4" w:space="0"/>
            </w:tcBorders>
            <w:shd w:val="clear" w:color="auto" w:fill="FFFFFF"/>
            <w:vAlign w:val="center"/>
          </w:tcPr>
          <w:p>
            <w:pPr>
              <w:tabs>
                <w:tab w:val="left" w:pos="0"/>
                <w:tab w:val="left" w:pos="425"/>
              </w:tabs>
              <w:spacing w:line="500" w:lineRule="exact"/>
              <w:ind w:left="2520" w:hanging="2520" w:hangingChars="900"/>
              <w:jc w:val="left"/>
              <w:outlineLvl w:val="3"/>
              <w:rPr>
                <w:rFonts w:ascii="仿宋" w:hAnsi="仿宋" w:eastAsia="仿宋" w:cs="仿宋"/>
                <w:kern w:val="0"/>
                <w:sz w:val="28"/>
                <w:szCs w:val="28"/>
              </w:rPr>
            </w:pPr>
            <w:r>
              <w:rPr>
                <w:rFonts w:hint="eastAsia" w:ascii="仿宋" w:hAnsi="仿宋" w:eastAsia="仿宋" w:cs="仿宋"/>
                <w:kern w:val="0"/>
                <w:sz w:val="28"/>
                <w:szCs w:val="28"/>
              </w:rPr>
              <w:t>铅（以Pb计）/（mg/kg）   ≤</w:t>
            </w:r>
          </w:p>
        </w:tc>
        <w:tc>
          <w:tcPr>
            <w:tcW w:w="1530" w:type="dxa"/>
            <w:tcBorders>
              <w:top w:val="single" w:color="auto" w:sz="4" w:space="0"/>
              <w:left w:val="single" w:color="auto" w:sz="4" w:space="0"/>
              <w:bottom w:val="single" w:color="auto" w:sz="4" w:space="0"/>
              <w:right w:val="single" w:color="auto" w:sz="8" w:space="0"/>
            </w:tcBorders>
            <w:shd w:val="clear" w:color="auto" w:fill="FFFFFF"/>
            <w:vAlign w:val="center"/>
          </w:tcPr>
          <w:p>
            <w:pPr>
              <w:tabs>
                <w:tab w:val="left" w:pos="0"/>
                <w:tab w:val="left" w:pos="425"/>
              </w:tabs>
              <w:spacing w:line="500" w:lineRule="exact"/>
              <w:jc w:val="center"/>
              <w:outlineLvl w:val="3"/>
              <w:rPr>
                <w:rFonts w:ascii="仿宋" w:hAnsi="仿宋" w:eastAsia="仿宋" w:cs="仿宋"/>
                <w:kern w:val="0"/>
                <w:sz w:val="28"/>
                <w:szCs w:val="28"/>
              </w:rPr>
            </w:pPr>
            <w:r>
              <w:rPr>
                <w:rFonts w:hint="eastAsia" w:ascii="仿宋" w:hAnsi="仿宋" w:eastAsia="仿宋" w:cs="仿宋"/>
                <w:kern w:val="0"/>
                <w:sz w:val="28"/>
                <w:szCs w:val="28"/>
              </w:rPr>
              <w:t>1.0</w:t>
            </w:r>
          </w:p>
        </w:tc>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tabs>
                <w:tab w:val="left" w:pos="0"/>
                <w:tab w:val="left" w:pos="425"/>
              </w:tabs>
              <w:spacing w:line="500" w:lineRule="exact"/>
              <w:outlineLvl w:val="3"/>
              <w:rPr>
                <w:rFonts w:ascii="仿宋" w:hAnsi="仿宋" w:eastAsia="仿宋" w:cs="仿宋"/>
                <w:kern w:val="0"/>
                <w:sz w:val="28"/>
                <w:szCs w:val="28"/>
              </w:rPr>
            </w:pPr>
            <w:r>
              <w:rPr>
                <w:rFonts w:hint="eastAsia" w:ascii="仿宋" w:hAnsi="仿宋" w:eastAsia="仿宋" w:cs="仿宋"/>
                <w:kern w:val="0"/>
                <w:sz w:val="28"/>
                <w:szCs w:val="28"/>
              </w:rPr>
              <w:t>GB 5009.12</w:t>
            </w:r>
          </w:p>
        </w:tc>
        <w:tc>
          <w:tcPr>
            <w:tcW w:w="2623" w:type="dxa"/>
            <w:tcBorders>
              <w:top w:val="single" w:color="auto" w:sz="8" w:space="0"/>
              <w:left w:val="single" w:color="auto" w:sz="8" w:space="0"/>
              <w:bottom w:val="single" w:color="auto" w:sz="8" w:space="0"/>
              <w:right w:val="single" w:color="auto" w:sz="8" w:space="0"/>
            </w:tcBorders>
            <w:shd w:val="clear" w:color="auto" w:fill="FFFFFF"/>
            <w:vAlign w:val="center"/>
          </w:tcPr>
          <w:p>
            <w:pPr>
              <w:tabs>
                <w:tab w:val="left" w:pos="0"/>
                <w:tab w:val="left" w:pos="425"/>
              </w:tabs>
              <w:spacing w:line="500" w:lineRule="exact"/>
              <w:outlineLvl w:val="3"/>
              <w:rPr>
                <w:rFonts w:ascii="仿宋" w:hAnsi="仿宋" w:eastAsia="仿宋" w:cs="仿宋"/>
                <w:kern w:val="0"/>
                <w:sz w:val="28"/>
                <w:szCs w:val="28"/>
              </w:rPr>
            </w:pPr>
            <w:r>
              <w:rPr>
                <w:rFonts w:hint="eastAsia" w:ascii="仿宋" w:hAnsi="仿宋" w:eastAsia="仿宋" w:cs="仿宋"/>
                <w:kern w:val="0"/>
                <w:sz w:val="28"/>
                <w:szCs w:val="28"/>
              </w:rPr>
              <w:t>参考</w:t>
            </w:r>
            <w:r>
              <w:rPr>
                <w:rFonts w:ascii="仿宋" w:hAnsi="仿宋" w:eastAsia="仿宋" w:cs="仿宋"/>
                <w:kern w:val="0"/>
                <w:sz w:val="28"/>
                <w:szCs w:val="28"/>
              </w:rPr>
              <w:t>GB 2762《食品安全国家标准 食品中污染物限量》中“水果制品”项下铅限量</w:t>
            </w:r>
            <w:r>
              <w:rPr>
                <w:rFonts w:hint="eastAsia" w:ascii="仿宋" w:hAnsi="仿宋" w:eastAsia="仿宋" w:cs="仿宋"/>
                <w:kern w:val="0"/>
                <w:sz w:val="28"/>
                <w:szCs w:val="28"/>
              </w:rPr>
              <w:t>制定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254" w:type="dxa"/>
            <w:tcBorders>
              <w:top w:val="single" w:color="auto" w:sz="4" w:space="0"/>
              <w:left w:val="single" w:color="auto" w:sz="8" w:space="0"/>
              <w:bottom w:val="single" w:color="auto" w:sz="4" w:space="0"/>
              <w:right w:val="single" w:color="auto" w:sz="4" w:space="0"/>
            </w:tcBorders>
            <w:shd w:val="clear" w:color="auto" w:fill="auto"/>
            <w:vAlign w:val="center"/>
          </w:tcPr>
          <w:p>
            <w:pPr>
              <w:tabs>
                <w:tab w:val="left" w:pos="0"/>
                <w:tab w:val="left" w:pos="425"/>
              </w:tabs>
              <w:spacing w:line="500" w:lineRule="exact"/>
              <w:ind w:left="2520" w:hanging="2520" w:hangingChars="900"/>
              <w:jc w:val="left"/>
              <w:outlineLvl w:val="3"/>
              <w:rPr>
                <w:rFonts w:ascii="仿宋" w:hAnsi="仿宋" w:eastAsia="仿宋" w:cs="仿宋"/>
                <w:kern w:val="0"/>
                <w:sz w:val="28"/>
                <w:szCs w:val="28"/>
              </w:rPr>
            </w:pPr>
            <w:r>
              <w:rPr>
                <w:rFonts w:hint="eastAsia" w:ascii="仿宋" w:hAnsi="仿宋" w:eastAsia="仿宋" w:cs="仿宋"/>
                <w:kern w:val="0"/>
                <w:sz w:val="28"/>
                <w:szCs w:val="28"/>
              </w:rPr>
              <w:t>总砷（以As计）/（mg/kg） ≤</w:t>
            </w:r>
          </w:p>
        </w:tc>
        <w:tc>
          <w:tcPr>
            <w:tcW w:w="1530" w:type="dxa"/>
            <w:tcBorders>
              <w:top w:val="single" w:color="auto" w:sz="4" w:space="0"/>
              <w:left w:val="single" w:color="auto" w:sz="4" w:space="0"/>
              <w:bottom w:val="single" w:color="auto" w:sz="4" w:space="0"/>
              <w:right w:val="single" w:color="auto" w:sz="8" w:space="0"/>
            </w:tcBorders>
            <w:shd w:val="clear" w:color="auto" w:fill="auto"/>
            <w:vAlign w:val="center"/>
          </w:tcPr>
          <w:p>
            <w:pPr>
              <w:tabs>
                <w:tab w:val="left" w:pos="0"/>
                <w:tab w:val="left" w:pos="425"/>
              </w:tabs>
              <w:spacing w:line="500" w:lineRule="exact"/>
              <w:jc w:val="center"/>
              <w:outlineLvl w:val="3"/>
              <w:rPr>
                <w:rFonts w:ascii="仿宋" w:hAnsi="仿宋" w:eastAsia="仿宋" w:cs="仿宋"/>
                <w:kern w:val="0"/>
                <w:sz w:val="28"/>
                <w:szCs w:val="28"/>
              </w:rPr>
            </w:pPr>
            <w:r>
              <w:rPr>
                <w:rFonts w:hint="eastAsia" w:ascii="仿宋" w:hAnsi="仿宋" w:eastAsia="仿宋" w:cs="仿宋"/>
                <w:kern w:val="0"/>
                <w:sz w:val="28"/>
                <w:szCs w:val="28"/>
              </w:rPr>
              <w:t>0.5</w:t>
            </w:r>
          </w:p>
        </w:tc>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tabs>
                <w:tab w:val="left" w:pos="0"/>
                <w:tab w:val="left" w:pos="425"/>
              </w:tabs>
              <w:spacing w:line="500" w:lineRule="exact"/>
              <w:outlineLvl w:val="3"/>
              <w:rPr>
                <w:rFonts w:ascii="仿宋" w:hAnsi="仿宋" w:eastAsia="仿宋" w:cs="仿宋"/>
                <w:kern w:val="0"/>
                <w:sz w:val="28"/>
                <w:szCs w:val="28"/>
              </w:rPr>
            </w:pPr>
            <w:r>
              <w:rPr>
                <w:rFonts w:hint="eastAsia" w:ascii="仿宋" w:hAnsi="仿宋" w:eastAsia="仿宋" w:cs="仿宋"/>
                <w:kern w:val="0"/>
                <w:sz w:val="28"/>
                <w:szCs w:val="28"/>
              </w:rPr>
              <w:t>GB 5009.11</w:t>
            </w:r>
          </w:p>
        </w:tc>
        <w:tc>
          <w:tcPr>
            <w:tcW w:w="2623" w:type="dxa"/>
            <w:vMerge w:val="restart"/>
            <w:tcBorders>
              <w:top w:val="single" w:color="auto" w:sz="8" w:space="0"/>
              <w:left w:val="single" w:color="auto" w:sz="8" w:space="0"/>
              <w:right w:val="single" w:color="auto" w:sz="8" w:space="0"/>
            </w:tcBorders>
            <w:shd w:val="clear" w:color="auto" w:fill="FFFFFF"/>
            <w:vAlign w:val="center"/>
          </w:tcPr>
          <w:p>
            <w:pPr>
              <w:tabs>
                <w:tab w:val="left" w:pos="0"/>
                <w:tab w:val="left" w:pos="425"/>
              </w:tabs>
              <w:spacing w:line="500" w:lineRule="exact"/>
              <w:outlineLvl w:val="3"/>
              <w:rPr>
                <w:rFonts w:ascii="仿宋" w:hAnsi="仿宋" w:eastAsia="仿宋" w:cs="仿宋"/>
                <w:kern w:val="0"/>
                <w:sz w:val="28"/>
                <w:szCs w:val="28"/>
              </w:rPr>
            </w:pPr>
            <w:r>
              <w:rPr>
                <w:rFonts w:hint="eastAsia" w:ascii="仿宋" w:hAnsi="仿宋" w:eastAsia="仿宋" w:cs="仿宋"/>
                <w:kern w:val="0"/>
                <w:sz w:val="28"/>
                <w:szCs w:val="28"/>
              </w:rPr>
              <w:t>参考GH/T 1091 《代用茶》限量要求及企业自检数据制定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254" w:type="dxa"/>
            <w:tcBorders>
              <w:top w:val="single" w:color="auto" w:sz="4" w:space="0"/>
              <w:left w:val="single" w:color="auto" w:sz="8" w:space="0"/>
              <w:bottom w:val="single" w:color="auto" w:sz="4" w:space="0"/>
              <w:right w:val="single" w:color="auto" w:sz="4" w:space="0"/>
            </w:tcBorders>
            <w:shd w:val="clear" w:color="auto" w:fill="auto"/>
            <w:vAlign w:val="center"/>
          </w:tcPr>
          <w:p>
            <w:pPr>
              <w:tabs>
                <w:tab w:val="left" w:pos="0"/>
                <w:tab w:val="left" w:pos="425"/>
              </w:tabs>
              <w:spacing w:line="500" w:lineRule="exact"/>
              <w:ind w:left="2520" w:hanging="2520" w:hangingChars="900"/>
              <w:jc w:val="left"/>
              <w:outlineLvl w:val="3"/>
              <w:rPr>
                <w:rFonts w:ascii="仿宋" w:hAnsi="仿宋" w:eastAsia="仿宋" w:cs="仿宋"/>
                <w:kern w:val="0"/>
                <w:sz w:val="28"/>
                <w:szCs w:val="28"/>
              </w:rPr>
            </w:pPr>
            <w:r>
              <w:rPr>
                <w:rFonts w:hint="eastAsia" w:ascii="仿宋" w:hAnsi="仿宋" w:eastAsia="仿宋" w:cs="仿宋"/>
                <w:kern w:val="0"/>
                <w:sz w:val="28"/>
                <w:szCs w:val="28"/>
              </w:rPr>
              <w:t>镉（以 Cd 计）/mg/kg      ≤</w:t>
            </w:r>
          </w:p>
        </w:tc>
        <w:tc>
          <w:tcPr>
            <w:tcW w:w="1530" w:type="dxa"/>
            <w:tcBorders>
              <w:top w:val="single" w:color="auto" w:sz="4" w:space="0"/>
              <w:left w:val="single" w:color="auto" w:sz="4" w:space="0"/>
              <w:bottom w:val="single" w:color="auto" w:sz="4" w:space="0"/>
              <w:right w:val="single" w:color="auto" w:sz="8" w:space="0"/>
            </w:tcBorders>
            <w:shd w:val="clear" w:color="auto" w:fill="auto"/>
            <w:vAlign w:val="center"/>
          </w:tcPr>
          <w:p>
            <w:pPr>
              <w:tabs>
                <w:tab w:val="left" w:pos="0"/>
                <w:tab w:val="left" w:pos="425"/>
              </w:tabs>
              <w:spacing w:line="500" w:lineRule="exact"/>
              <w:jc w:val="center"/>
              <w:outlineLvl w:val="3"/>
              <w:rPr>
                <w:rFonts w:ascii="仿宋" w:hAnsi="仿宋" w:eastAsia="仿宋" w:cs="仿宋"/>
                <w:kern w:val="0"/>
                <w:sz w:val="28"/>
                <w:szCs w:val="28"/>
              </w:rPr>
            </w:pPr>
            <w:r>
              <w:rPr>
                <w:rFonts w:hint="eastAsia" w:ascii="仿宋" w:hAnsi="仿宋" w:eastAsia="仿宋" w:cs="仿宋"/>
                <w:kern w:val="0"/>
                <w:sz w:val="28"/>
                <w:szCs w:val="28"/>
              </w:rPr>
              <w:t>0.5</w:t>
            </w:r>
          </w:p>
        </w:tc>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tabs>
                <w:tab w:val="left" w:pos="0"/>
                <w:tab w:val="left" w:pos="425"/>
              </w:tabs>
              <w:spacing w:line="500" w:lineRule="exact"/>
              <w:outlineLvl w:val="3"/>
              <w:rPr>
                <w:rFonts w:ascii="仿宋" w:hAnsi="仿宋" w:eastAsia="仿宋" w:cs="仿宋"/>
                <w:kern w:val="0"/>
                <w:sz w:val="28"/>
                <w:szCs w:val="28"/>
              </w:rPr>
            </w:pPr>
            <w:r>
              <w:rPr>
                <w:rFonts w:hint="eastAsia" w:ascii="仿宋" w:hAnsi="仿宋" w:eastAsia="仿宋" w:cs="仿宋"/>
                <w:kern w:val="0"/>
                <w:sz w:val="28"/>
                <w:szCs w:val="28"/>
              </w:rPr>
              <w:t>GB 5009.15</w:t>
            </w:r>
          </w:p>
        </w:tc>
        <w:tc>
          <w:tcPr>
            <w:tcW w:w="2623" w:type="dxa"/>
            <w:vMerge w:val="continue"/>
            <w:tcBorders>
              <w:left w:val="single" w:color="auto" w:sz="8" w:space="0"/>
              <w:bottom w:val="single" w:color="auto" w:sz="8" w:space="0"/>
              <w:right w:val="single" w:color="auto" w:sz="8" w:space="0"/>
            </w:tcBorders>
            <w:shd w:val="clear" w:color="auto" w:fill="FFFFFF"/>
            <w:vAlign w:val="center"/>
          </w:tcPr>
          <w:p>
            <w:pPr>
              <w:tabs>
                <w:tab w:val="left" w:pos="0"/>
                <w:tab w:val="left" w:pos="425"/>
              </w:tabs>
              <w:spacing w:line="500" w:lineRule="exact"/>
              <w:outlineLvl w:val="3"/>
              <w:rPr>
                <w:rFonts w:ascii="仿宋" w:hAnsi="仿宋" w:eastAsia="仿宋" w:cs="仿宋"/>
                <w:kern w:val="0"/>
                <w:sz w:val="28"/>
                <w:szCs w:val="28"/>
              </w:rPr>
            </w:pPr>
          </w:p>
        </w:tc>
      </w:tr>
    </w:tbl>
    <w:p>
      <w:pPr>
        <w:rPr>
          <w:rFonts w:ascii="仿宋" w:hAnsi="仿宋" w:eastAsia="仿宋"/>
          <w:b/>
          <w:bCs/>
          <w:sz w:val="28"/>
          <w:szCs w:val="28"/>
        </w:rPr>
      </w:pPr>
      <w:r>
        <w:rPr>
          <w:rFonts w:hint="eastAsia" w:ascii="仿宋" w:hAnsi="仿宋" w:eastAsia="仿宋" w:cs="仿宋"/>
          <w:b/>
          <w:bCs/>
          <w:kern w:val="0"/>
          <w:sz w:val="28"/>
          <w:szCs w:val="28"/>
        </w:rPr>
        <w:t>二、微生物限量</w:t>
      </w:r>
    </w:p>
    <w:tbl>
      <w:tblPr>
        <w:tblStyle w:val="7"/>
        <w:tblW w:w="93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242"/>
        <w:gridCol w:w="851"/>
        <w:gridCol w:w="850"/>
        <w:gridCol w:w="1134"/>
        <w:gridCol w:w="1072"/>
        <w:gridCol w:w="2274"/>
        <w:gridCol w:w="96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42" w:type="dxa"/>
            <w:vMerge w:val="restart"/>
            <w:tcBorders>
              <w:top w:val="single" w:color="auto" w:sz="8" w:space="0"/>
              <w:left w:val="single" w:color="auto" w:sz="8" w:space="0"/>
              <w:right w:val="single" w:color="auto" w:sz="8" w:space="0"/>
            </w:tcBorders>
            <w:shd w:val="clear" w:color="auto" w:fill="FFFFFF"/>
            <w:vAlign w:val="center"/>
          </w:tcPr>
          <w:p>
            <w:pPr>
              <w:tabs>
                <w:tab w:val="left" w:pos="0"/>
                <w:tab w:val="left" w:pos="425"/>
              </w:tabs>
              <w:spacing w:line="500" w:lineRule="exact"/>
              <w:jc w:val="center"/>
              <w:outlineLvl w:val="3"/>
              <w:rPr>
                <w:rFonts w:ascii="仿宋" w:hAnsi="仿宋" w:eastAsia="仿宋" w:cs="仿宋"/>
                <w:kern w:val="0"/>
                <w:sz w:val="28"/>
                <w:szCs w:val="28"/>
              </w:rPr>
            </w:pPr>
            <w:r>
              <w:rPr>
                <w:rFonts w:hint="eastAsia" w:ascii="仿宋" w:hAnsi="仿宋" w:eastAsia="仿宋" w:cs="仿宋"/>
                <w:kern w:val="0"/>
                <w:sz w:val="28"/>
                <w:szCs w:val="28"/>
              </w:rPr>
              <w:t>检测项目</w:t>
            </w:r>
          </w:p>
        </w:tc>
        <w:tc>
          <w:tcPr>
            <w:tcW w:w="3907"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tabs>
                <w:tab w:val="left" w:pos="0"/>
                <w:tab w:val="left" w:pos="425"/>
              </w:tabs>
              <w:spacing w:line="500" w:lineRule="exact"/>
              <w:jc w:val="center"/>
              <w:outlineLvl w:val="3"/>
              <w:rPr>
                <w:rFonts w:ascii="仿宋" w:hAnsi="仿宋" w:eastAsia="仿宋" w:cs="仿宋"/>
                <w:kern w:val="0"/>
                <w:sz w:val="28"/>
                <w:szCs w:val="28"/>
              </w:rPr>
            </w:pPr>
            <w:r>
              <w:rPr>
                <w:rFonts w:hint="eastAsia" w:ascii="仿宋" w:hAnsi="仿宋" w:eastAsia="仿宋" w:cs="仿宋"/>
                <w:kern w:val="0"/>
                <w:sz w:val="28"/>
                <w:szCs w:val="28"/>
              </w:rPr>
              <w:t>采样方案a及限量（若非指定，均以/25g或/25mL表示）</w:t>
            </w:r>
          </w:p>
        </w:tc>
        <w:tc>
          <w:tcPr>
            <w:tcW w:w="2274" w:type="dxa"/>
            <w:vMerge w:val="restart"/>
            <w:tcBorders>
              <w:top w:val="single" w:color="auto" w:sz="8" w:space="0"/>
              <w:left w:val="single" w:color="auto" w:sz="8" w:space="0"/>
              <w:right w:val="single" w:color="auto" w:sz="8" w:space="0"/>
            </w:tcBorders>
            <w:shd w:val="clear" w:color="auto" w:fill="FFFFFF"/>
            <w:vAlign w:val="center"/>
          </w:tcPr>
          <w:p>
            <w:pPr>
              <w:tabs>
                <w:tab w:val="left" w:pos="0"/>
                <w:tab w:val="left" w:pos="425"/>
              </w:tabs>
              <w:spacing w:line="500" w:lineRule="exact"/>
              <w:ind w:firstLine="560" w:firstLineChars="200"/>
              <w:jc w:val="center"/>
              <w:outlineLvl w:val="3"/>
              <w:rPr>
                <w:rFonts w:ascii="仿宋" w:hAnsi="仿宋" w:eastAsia="仿宋" w:cs="仿宋"/>
                <w:kern w:val="0"/>
                <w:sz w:val="28"/>
                <w:szCs w:val="28"/>
              </w:rPr>
            </w:pPr>
            <w:r>
              <w:rPr>
                <w:rFonts w:hint="eastAsia" w:ascii="仿宋" w:hAnsi="仿宋" w:eastAsia="仿宋" w:cs="仿宋"/>
                <w:kern w:val="0"/>
                <w:sz w:val="28"/>
                <w:szCs w:val="28"/>
              </w:rPr>
              <w:t>检测方法</w:t>
            </w:r>
          </w:p>
        </w:tc>
        <w:tc>
          <w:tcPr>
            <w:tcW w:w="964" w:type="dxa"/>
            <w:vMerge w:val="restart"/>
            <w:tcBorders>
              <w:top w:val="single" w:color="auto" w:sz="8" w:space="0"/>
              <w:left w:val="single" w:color="auto" w:sz="8" w:space="0"/>
              <w:right w:val="single" w:color="auto" w:sz="8" w:space="0"/>
            </w:tcBorders>
            <w:shd w:val="clear" w:color="auto" w:fill="FFFFFF"/>
            <w:vAlign w:val="center"/>
          </w:tcPr>
          <w:p>
            <w:pPr>
              <w:tabs>
                <w:tab w:val="left" w:pos="0"/>
                <w:tab w:val="left" w:pos="425"/>
              </w:tabs>
              <w:spacing w:line="500" w:lineRule="exact"/>
              <w:jc w:val="center"/>
              <w:outlineLvl w:val="3"/>
              <w:rPr>
                <w:rFonts w:ascii="仿宋" w:hAnsi="仿宋" w:eastAsia="仿宋" w:cs="仿宋"/>
                <w:kern w:val="0"/>
                <w:sz w:val="28"/>
                <w:szCs w:val="28"/>
              </w:rPr>
            </w:pPr>
            <w:r>
              <w:rPr>
                <w:rFonts w:hint="eastAsia" w:ascii="仿宋" w:hAnsi="仿宋" w:eastAsia="仿宋" w:cs="仿宋"/>
                <w:kern w:val="0"/>
                <w:sz w:val="28"/>
                <w:szCs w:val="2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42" w:type="dxa"/>
            <w:vMerge w:val="continue"/>
            <w:tcBorders>
              <w:left w:val="single" w:color="auto" w:sz="8" w:space="0"/>
              <w:bottom w:val="single" w:color="auto" w:sz="8" w:space="0"/>
              <w:right w:val="single" w:color="auto" w:sz="8" w:space="0"/>
            </w:tcBorders>
            <w:shd w:val="clear" w:color="auto" w:fill="FFFFFF"/>
            <w:vAlign w:val="center"/>
          </w:tcPr>
          <w:p>
            <w:pPr>
              <w:tabs>
                <w:tab w:val="left" w:pos="0"/>
                <w:tab w:val="left" w:pos="425"/>
              </w:tabs>
              <w:spacing w:line="500" w:lineRule="exact"/>
              <w:ind w:firstLine="560" w:firstLineChars="200"/>
              <w:jc w:val="center"/>
              <w:outlineLvl w:val="3"/>
              <w:rPr>
                <w:rFonts w:ascii="仿宋" w:hAnsi="仿宋" w:eastAsia="仿宋" w:cs="仿宋"/>
                <w:kern w:val="0"/>
                <w:sz w:val="28"/>
                <w:szCs w:val="28"/>
              </w:rPr>
            </w:pPr>
          </w:p>
        </w:tc>
        <w:tc>
          <w:tcPr>
            <w:tcW w:w="851" w:type="dxa"/>
            <w:tcBorders>
              <w:top w:val="single" w:color="auto" w:sz="8" w:space="0"/>
              <w:left w:val="single" w:color="auto" w:sz="8" w:space="0"/>
              <w:bottom w:val="single" w:color="auto" w:sz="8" w:space="0"/>
              <w:right w:val="single" w:color="auto" w:sz="4" w:space="0"/>
            </w:tcBorders>
            <w:shd w:val="clear" w:color="auto" w:fill="FFFFFF"/>
            <w:vAlign w:val="center"/>
          </w:tcPr>
          <w:p>
            <w:pPr>
              <w:adjustRightInd w:val="0"/>
              <w:snapToGrid w:val="0"/>
              <w:jc w:val="center"/>
              <w:rPr>
                <w:rFonts w:ascii="仿宋" w:hAnsi="仿宋" w:eastAsia="仿宋"/>
                <w:kern w:val="0"/>
                <w:sz w:val="28"/>
                <w:szCs w:val="28"/>
              </w:rPr>
            </w:pPr>
            <w:r>
              <w:rPr>
                <w:rFonts w:hint="eastAsia" w:ascii="仿宋" w:hAnsi="仿宋" w:eastAsia="仿宋"/>
                <w:kern w:val="0"/>
                <w:sz w:val="28"/>
                <w:szCs w:val="28"/>
              </w:rPr>
              <w:t>n</w:t>
            </w:r>
          </w:p>
        </w:tc>
        <w:tc>
          <w:tcPr>
            <w:tcW w:w="850" w:type="dxa"/>
            <w:tcBorders>
              <w:top w:val="single" w:color="auto" w:sz="8" w:space="0"/>
              <w:left w:val="single" w:color="auto" w:sz="4" w:space="0"/>
              <w:bottom w:val="single" w:color="auto" w:sz="8" w:space="0"/>
              <w:right w:val="single" w:color="auto" w:sz="4" w:space="0"/>
            </w:tcBorders>
            <w:shd w:val="clear" w:color="auto" w:fill="FFFFFF"/>
            <w:vAlign w:val="center"/>
          </w:tcPr>
          <w:p>
            <w:pPr>
              <w:adjustRightInd w:val="0"/>
              <w:snapToGrid w:val="0"/>
              <w:jc w:val="center"/>
              <w:rPr>
                <w:rFonts w:ascii="仿宋" w:hAnsi="仿宋" w:eastAsia="仿宋"/>
                <w:kern w:val="0"/>
                <w:sz w:val="28"/>
                <w:szCs w:val="28"/>
              </w:rPr>
            </w:pPr>
            <w:r>
              <w:rPr>
                <w:rFonts w:hint="eastAsia" w:ascii="仿宋" w:hAnsi="仿宋" w:eastAsia="仿宋"/>
                <w:kern w:val="0"/>
                <w:sz w:val="28"/>
                <w:szCs w:val="28"/>
              </w:rPr>
              <w:t>c</w:t>
            </w:r>
          </w:p>
        </w:tc>
        <w:tc>
          <w:tcPr>
            <w:tcW w:w="1134" w:type="dxa"/>
            <w:tcBorders>
              <w:top w:val="single" w:color="auto" w:sz="8" w:space="0"/>
              <w:left w:val="single" w:color="auto" w:sz="4" w:space="0"/>
              <w:bottom w:val="single" w:color="auto" w:sz="8" w:space="0"/>
              <w:right w:val="single" w:color="auto" w:sz="8" w:space="0"/>
            </w:tcBorders>
            <w:shd w:val="clear" w:color="auto" w:fill="FFFFFF"/>
            <w:vAlign w:val="center"/>
          </w:tcPr>
          <w:p>
            <w:pPr>
              <w:adjustRightInd w:val="0"/>
              <w:snapToGrid w:val="0"/>
              <w:jc w:val="center"/>
              <w:rPr>
                <w:rFonts w:ascii="仿宋" w:hAnsi="仿宋" w:eastAsia="仿宋"/>
                <w:kern w:val="0"/>
                <w:sz w:val="28"/>
                <w:szCs w:val="28"/>
              </w:rPr>
            </w:pPr>
            <w:r>
              <w:rPr>
                <w:rFonts w:hint="eastAsia" w:ascii="仿宋" w:hAnsi="仿宋" w:eastAsia="仿宋"/>
                <w:kern w:val="0"/>
                <w:sz w:val="28"/>
                <w:szCs w:val="28"/>
              </w:rPr>
              <w:t>m</w:t>
            </w:r>
          </w:p>
        </w:tc>
        <w:tc>
          <w:tcPr>
            <w:tcW w:w="1072"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val="0"/>
              <w:snapToGrid w:val="0"/>
              <w:jc w:val="center"/>
              <w:rPr>
                <w:rFonts w:ascii="仿宋" w:hAnsi="仿宋" w:eastAsia="仿宋"/>
                <w:kern w:val="0"/>
                <w:sz w:val="28"/>
                <w:szCs w:val="28"/>
              </w:rPr>
            </w:pPr>
            <w:r>
              <w:rPr>
                <w:rFonts w:hint="eastAsia" w:ascii="仿宋" w:hAnsi="仿宋" w:eastAsia="仿宋"/>
                <w:kern w:val="0"/>
                <w:sz w:val="28"/>
                <w:szCs w:val="28"/>
              </w:rPr>
              <w:t>M</w:t>
            </w:r>
          </w:p>
        </w:tc>
        <w:tc>
          <w:tcPr>
            <w:tcW w:w="2274" w:type="dxa"/>
            <w:vMerge w:val="continue"/>
            <w:tcBorders>
              <w:left w:val="single" w:color="auto" w:sz="8" w:space="0"/>
              <w:bottom w:val="single" w:color="auto" w:sz="8" w:space="0"/>
              <w:right w:val="single" w:color="auto" w:sz="8" w:space="0"/>
            </w:tcBorders>
            <w:shd w:val="clear" w:color="auto" w:fill="FFFFFF"/>
            <w:vAlign w:val="center"/>
          </w:tcPr>
          <w:p>
            <w:pPr>
              <w:tabs>
                <w:tab w:val="left" w:pos="0"/>
                <w:tab w:val="left" w:pos="425"/>
              </w:tabs>
              <w:spacing w:line="500" w:lineRule="exact"/>
              <w:ind w:firstLine="560" w:firstLineChars="200"/>
              <w:jc w:val="center"/>
              <w:outlineLvl w:val="3"/>
              <w:rPr>
                <w:rFonts w:ascii="仿宋" w:hAnsi="仿宋" w:eastAsia="仿宋" w:cs="仿宋"/>
                <w:kern w:val="0"/>
                <w:sz w:val="28"/>
                <w:szCs w:val="28"/>
              </w:rPr>
            </w:pPr>
          </w:p>
        </w:tc>
        <w:tc>
          <w:tcPr>
            <w:tcW w:w="964" w:type="dxa"/>
            <w:vMerge w:val="continue"/>
            <w:tcBorders>
              <w:left w:val="single" w:color="auto" w:sz="8" w:space="0"/>
              <w:bottom w:val="single" w:color="auto" w:sz="8" w:space="0"/>
              <w:right w:val="single" w:color="auto" w:sz="8" w:space="0"/>
            </w:tcBorders>
            <w:shd w:val="clear" w:color="auto" w:fill="FFFFFF"/>
            <w:vAlign w:val="center"/>
          </w:tcPr>
          <w:p>
            <w:pPr>
              <w:tabs>
                <w:tab w:val="left" w:pos="0"/>
                <w:tab w:val="left" w:pos="425"/>
              </w:tabs>
              <w:spacing w:line="500" w:lineRule="exact"/>
              <w:ind w:firstLine="560" w:firstLineChars="200"/>
              <w:jc w:val="center"/>
              <w:outlineLvl w:val="3"/>
              <w:rPr>
                <w:rFonts w:ascii="仿宋" w:hAnsi="仿宋"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42" w:type="dxa"/>
            <w:tcBorders>
              <w:top w:val="single" w:color="auto" w:sz="8" w:space="0"/>
              <w:left w:val="single" w:color="auto" w:sz="8" w:space="0"/>
              <w:bottom w:val="single" w:color="auto" w:sz="8" w:space="0"/>
              <w:right w:val="single" w:color="auto" w:sz="8" w:space="0"/>
            </w:tcBorders>
            <w:shd w:val="clear" w:color="auto" w:fill="FFFFFF"/>
            <w:vAlign w:val="center"/>
          </w:tcPr>
          <w:p>
            <w:pPr>
              <w:tabs>
                <w:tab w:val="left" w:pos="0"/>
                <w:tab w:val="left" w:pos="425"/>
              </w:tabs>
              <w:spacing w:line="500" w:lineRule="exact"/>
              <w:jc w:val="center"/>
              <w:outlineLvl w:val="3"/>
              <w:rPr>
                <w:rFonts w:ascii="仿宋" w:hAnsi="仿宋" w:eastAsia="仿宋" w:cs="仿宋"/>
                <w:kern w:val="0"/>
                <w:sz w:val="28"/>
                <w:szCs w:val="28"/>
              </w:rPr>
            </w:pPr>
            <w:r>
              <w:rPr>
                <w:rFonts w:hint="eastAsia" w:ascii="仿宋" w:hAnsi="仿宋" w:eastAsia="仿宋" w:cs="仿宋"/>
                <w:kern w:val="0"/>
                <w:sz w:val="28"/>
                <w:szCs w:val="28"/>
              </w:rPr>
              <w:t>沙门氏菌</w:t>
            </w:r>
          </w:p>
        </w:tc>
        <w:tc>
          <w:tcPr>
            <w:tcW w:w="851" w:type="dxa"/>
            <w:tcBorders>
              <w:top w:val="single" w:color="auto" w:sz="8" w:space="0"/>
              <w:left w:val="single" w:color="auto" w:sz="8" w:space="0"/>
              <w:bottom w:val="single" w:color="auto" w:sz="8" w:space="0"/>
              <w:right w:val="single" w:color="auto" w:sz="4" w:space="0"/>
            </w:tcBorders>
            <w:shd w:val="clear" w:color="auto" w:fill="FFFFFF"/>
            <w:vAlign w:val="center"/>
          </w:tcPr>
          <w:p>
            <w:pPr>
              <w:adjustRightInd w:val="0"/>
              <w:snapToGrid w:val="0"/>
              <w:jc w:val="center"/>
              <w:rPr>
                <w:rFonts w:ascii="仿宋" w:hAnsi="仿宋" w:eastAsia="仿宋"/>
                <w:kern w:val="0"/>
                <w:sz w:val="28"/>
                <w:szCs w:val="28"/>
              </w:rPr>
            </w:pPr>
            <w:r>
              <w:rPr>
                <w:rFonts w:hint="eastAsia" w:ascii="仿宋" w:hAnsi="仿宋" w:eastAsia="仿宋"/>
                <w:kern w:val="0"/>
                <w:sz w:val="28"/>
                <w:szCs w:val="28"/>
              </w:rPr>
              <w:t>5</w:t>
            </w:r>
          </w:p>
        </w:tc>
        <w:tc>
          <w:tcPr>
            <w:tcW w:w="850" w:type="dxa"/>
            <w:tcBorders>
              <w:top w:val="single" w:color="auto" w:sz="8" w:space="0"/>
              <w:left w:val="single" w:color="auto" w:sz="4" w:space="0"/>
              <w:bottom w:val="single" w:color="auto" w:sz="8" w:space="0"/>
              <w:right w:val="single" w:color="auto" w:sz="4" w:space="0"/>
            </w:tcBorders>
            <w:shd w:val="clear" w:color="auto" w:fill="FFFFFF"/>
            <w:vAlign w:val="center"/>
          </w:tcPr>
          <w:p>
            <w:pPr>
              <w:adjustRightInd w:val="0"/>
              <w:snapToGrid w:val="0"/>
              <w:jc w:val="center"/>
              <w:rPr>
                <w:rFonts w:ascii="仿宋" w:hAnsi="仿宋" w:eastAsia="仿宋"/>
                <w:kern w:val="0"/>
                <w:sz w:val="28"/>
                <w:szCs w:val="28"/>
              </w:rPr>
            </w:pPr>
            <w:r>
              <w:rPr>
                <w:rFonts w:hint="eastAsia" w:ascii="仿宋" w:hAnsi="仿宋" w:eastAsia="仿宋"/>
                <w:kern w:val="0"/>
                <w:sz w:val="28"/>
                <w:szCs w:val="28"/>
              </w:rPr>
              <w:t>0</w:t>
            </w:r>
          </w:p>
        </w:tc>
        <w:tc>
          <w:tcPr>
            <w:tcW w:w="1134" w:type="dxa"/>
            <w:tcBorders>
              <w:top w:val="single" w:color="auto" w:sz="8" w:space="0"/>
              <w:left w:val="single" w:color="auto" w:sz="4" w:space="0"/>
              <w:bottom w:val="single" w:color="auto" w:sz="8" w:space="0"/>
              <w:right w:val="single" w:color="auto" w:sz="8" w:space="0"/>
            </w:tcBorders>
            <w:shd w:val="clear" w:color="auto" w:fill="FFFFFF"/>
            <w:vAlign w:val="center"/>
          </w:tcPr>
          <w:p>
            <w:pPr>
              <w:adjustRightInd w:val="0"/>
              <w:snapToGrid w:val="0"/>
              <w:jc w:val="center"/>
              <w:rPr>
                <w:rFonts w:ascii="仿宋" w:hAnsi="仿宋" w:eastAsia="仿宋"/>
                <w:kern w:val="0"/>
                <w:sz w:val="28"/>
                <w:szCs w:val="28"/>
              </w:rPr>
            </w:pPr>
            <w:r>
              <w:rPr>
                <w:rFonts w:hint="eastAsia" w:ascii="仿宋" w:hAnsi="仿宋" w:eastAsia="仿宋"/>
                <w:kern w:val="0"/>
                <w:sz w:val="28"/>
                <w:szCs w:val="28"/>
              </w:rPr>
              <w:t>0</w:t>
            </w:r>
          </w:p>
        </w:tc>
        <w:tc>
          <w:tcPr>
            <w:tcW w:w="1072"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val="0"/>
              <w:snapToGrid w:val="0"/>
              <w:jc w:val="center"/>
              <w:rPr>
                <w:rFonts w:ascii="仿宋" w:hAnsi="仿宋" w:eastAsia="仿宋"/>
                <w:kern w:val="0"/>
                <w:sz w:val="28"/>
                <w:szCs w:val="28"/>
              </w:rPr>
            </w:pPr>
            <w:r>
              <w:rPr>
                <w:rFonts w:hint="eastAsia" w:ascii="仿宋" w:hAnsi="仿宋" w:eastAsia="仿宋"/>
                <w:kern w:val="0"/>
                <w:sz w:val="28"/>
                <w:szCs w:val="28"/>
              </w:rPr>
              <w:t>-</w:t>
            </w:r>
          </w:p>
        </w:tc>
        <w:tc>
          <w:tcPr>
            <w:tcW w:w="2274" w:type="dxa"/>
            <w:tcBorders>
              <w:top w:val="single" w:color="auto" w:sz="8" w:space="0"/>
              <w:left w:val="single" w:color="auto" w:sz="8" w:space="0"/>
              <w:bottom w:val="single" w:color="auto" w:sz="8" w:space="0"/>
              <w:right w:val="single" w:color="auto" w:sz="8" w:space="0"/>
            </w:tcBorders>
            <w:shd w:val="clear" w:color="auto" w:fill="FFFFFF"/>
            <w:vAlign w:val="center"/>
          </w:tcPr>
          <w:p>
            <w:pPr>
              <w:tabs>
                <w:tab w:val="left" w:pos="0"/>
                <w:tab w:val="left" w:pos="425"/>
              </w:tabs>
              <w:spacing w:line="500" w:lineRule="exact"/>
              <w:jc w:val="center"/>
              <w:outlineLvl w:val="3"/>
              <w:rPr>
                <w:rFonts w:ascii="仿宋" w:hAnsi="仿宋" w:eastAsia="仿宋" w:cs="仿宋"/>
                <w:kern w:val="0"/>
                <w:sz w:val="28"/>
                <w:szCs w:val="28"/>
              </w:rPr>
            </w:pPr>
            <w:r>
              <w:rPr>
                <w:rFonts w:hint="eastAsia" w:ascii="仿宋" w:hAnsi="仿宋" w:eastAsia="仿宋"/>
                <w:kern w:val="0"/>
                <w:sz w:val="28"/>
                <w:szCs w:val="28"/>
              </w:rPr>
              <w:t>GB 4789.4</w:t>
            </w:r>
          </w:p>
        </w:tc>
        <w:tc>
          <w:tcPr>
            <w:tcW w:w="964" w:type="dxa"/>
            <w:vMerge w:val="restart"/>
            <w:tcBorders>
              <w:top w:val="single" w:color="auto" w:sz="8" w:space="0"/>
              <w:left w:val="single" w:color="auto" w:sz="8" w:space="0"/>
              <w:right w:val="single" w:color="auto" w:sz="8" w:space="0"/>
            </w:tcBorders>
            <w:shd w:val="clear" w:color="auto" w:fill="FFFFFF"/>
            <w:vAlign w:val="center"/>
          </w:tcPr>
          <w:p>
            <w:pPr>
              <w:tabs>
                <w:tab w:val="left" w:pos="0"/>
                <w:tab w:val="left" w:pos="425"/>
              </w:tabs>
              <w:spacing w:line="500" w:lineRule="exact"/>
              <w:jc w:val="center"/>
              <w:outlineLvl w:val="3"/>
              <w:rPr>
                <w:rFonts w:ascii="仿宋" w:hAnsi="仿宋" w:eastAsia="仿宋" w:cs="仿宋"/>
                <w:kern w:val="0"/>
                <w:sz w:val="28"/>
                <w:szCs w:val="28"/>
              </w:rPr>
            </w:pPr>
            <w:r>
              <w:rPr>
                <w:rFonts w:hint="eastAsia" w:ascii="仿宋" w:hAnsi="仿宋" w:eastAsia="仿宋" w:cs="仿宋"/>
                <w:kern w:val="0"/>
                <w:sz w:val="28"/>
                <w:szCs w:val="2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42" w:type="dxa"/>
            <w:tcBorders>
              <w:top w:val="single" w:color="auto" w:sz="8" w:space="0"/>
              <w:left w:val="single" w:color="auto" w:sz="8" w:space="0"/>
              <w:bottom w:val="single" w:color="auto" w:sz="8" w:space="0"/>
              <w:right w:val="single" w:color="auto" w:sz="8" w:space="0"/>
            </w:tcBorders>
            <w:shd w:val="clear" w:color="auto" w:fill="FFFFFF"/>
            <w:vAlign w:val="center"/>
          </w:tcPr>
          <w:p>
            <w:pPr>
              <w:tabs>
                <w:tab w:val="left" w:pos="0"/>
                <w:tab w:val="left" w:pos="425"/>
              </w:tabs>
              <w:spacing w:line="500" w:lineRule="exact"/>
              <w:jc w:val="center"/>
              <w:outlineLvl w:val="3"/>
              <w:rPr>
                <w:rFonts w:ascii="仿宋" w:hAnsi="仿宋" w:eastAsia="仿宋" w:cs="仿宋"/>
                <w:kern w:val="0"/>
                <w:sz w:val="28"/>
                <w:szCs w:val="28"/>
              </w:rPr>
            </w:pPr>
            <w:r>
              <w:rPr>
                <w:rFonts w:hint="eastAsia" w:ascii="仿宋" w:hAnsi="仿宋" w:eastAsia="仿宋" w:cs="仿宋"/>
                <w:kern w:val="0"/>
                <w:sz w:val="28"/>
                <w:szCs w:val="28"/>
              </w:rPr>
              <w:t>金黄色葡萄球菌/（CFU/g）</w:t>
            </w:r>
          </w:p>
        </w:tc>
        <w:tc>
          <w:tcPr>
            <w:tcW w:w="851" w:type="dxa"/>
            <w:tcBorders>
              <w:top w:val="single" w:color="auto" w:sz="8" w:space="0"/>
              <w:left w:val="single" w:color="auto" w:sz="8" w:space="0"/>
              <w:bottom w:val="single" w:color="auto" w:sz="8" w:space="0"/>
              <w:right w:val="single" w:color="auto" w:sz="4" w:space="0"/>
            </w:tcBorders>
            <w:shd w:val="clear" w:color="auto" w:fill="FFFFFF"/>
            <w:vAlign w:val="center"/>
          </w:tcPr>
          <w:p>
            <w:pPr>
              <w:adjustRightInd w:val="0"/>
              <w:snapToGrid w:val="0"/>
              <w:jc w:val="center"/>
              <w:rPr>
                <w:rFonts w:ascii="仿宋" w:hAnsi="仿宋" w:eastAsia="仿宋"/>
                <w:kern w:val="0"/>
                <w:sz w:val="28"/>
                <w:szCs w:val="28"/>
              </w:rPr>
            </w:pPr>
            <w:r>
              <w:rPr>
                <w:rFonts w:hint="eastAsia" w:ascii="仿宋" w:hAnsi="仿宋" w:eastAsia="仿宋"/>
                <w:kern w:val="0"/>
                <w:sz w:val="28"/>
                <w:szCs w:val="28"/>
              </w:rPr>
              <w:t>5</w:t>
            </w:r>
          </w:p>
        </w:tc>
        <w:tc>
          <w:tcPr>
            <w:tcW w:w="850" w:type="dxa"/>
            <w:tcBorders>
              <w:top w:val="single" w:color="auto" w:sz="8" w:space="0"/>
              <w:left w:val="single" w:color="auto" w:sz="4" w:space="0"/>
              <w:bottom w:val="single" w:color="auto" w:sz="8" w:space="0"/>
              <w:right w:val="single" w:color="auto" w:sz="4" w:space="0"/>
            </w:tcBorders>
            <w:shd w:val="clear" w:color="auto" w:fill="FFFFFF"/>
            <w:vAlign w:val="center"/>
          </w:tcPr>
          <w:p>
            <w:pPr>
              <w:adjustRightInd w:val="0"/>
              <w:snapToGrid w:val="0"/>
              <w:jc w:val="center"/>
              <w:rPr>
                <w:rFonts w:ascii="仿宋" w:hAnsi="仿宋" w:eastAsia="仿宋"/>
                <w:kern w:val="0"/>
                <w:sz w:val="28"/>
                <w:szCs w:val="28"/>
              </w:rPr>
            </w:pPr>
            <w:r>
              <w:rPr>
                <w:rFonts w:hint="eastAsia" w:ascii="仿宋" w:hAnsi="仿宋" w:eastAsia="仿宋"/>
                <w:kern w:val="0"/>
                <w:sz w:val="28"/>
                <w:szCs w:val="28"/>
              </w:rPr>
              <w:t>1</w:t>
            </w:r>
          </w:p>
        </w:tc>
        <w:tc>
          <w:tcPr>
            <w:tcW w:w="1134" w:type="dxa"/>
            <w:tcBorders>
              <w:top w:val="single" w:color="auto" w:sz="8" w:space="0"/>
              <w:left w:val="single" w:color="auto" w:sz="4" w:space="0"/>
              <w:bottom w:val="single" w:color="auto" w:sz="8" w:space="0"/>
              <w:right w:val="single" w:color="auto" w:sz="8" w:space="0"/>
            </w:tcBorders>
            <w:shd w:val="clear" w:color="auto" w:fill="FFFFFF"/>
            <w:vAlign w:val="center"/>
          </w:tcPr>
          <w:p>
            <w:pPr>
              <w:adjustRightInd w:val="0"/>
              <w:snapToGrid w:val="0"/>
              <w:jc w:val="center"/>
              <w:rPr>
                <w:rFonts w:ascii="仿宋" w:hAnsi="仿宋" w:eastAsia="仿宋"/>
                <w:kern w:val="0"/>
                <w:sz w:val="28"/>
                <w:szCs w:val="28"/>
              </w:rPr>
            </w:pPr>
            <w:r>
              <w:rPr>
                <w:rFonts w:hint="eastAsia" w:ascii="仿宋" w:hAnsi="仿宋" w:eastAsia="仿宋"/>
                <w:kern w:val="0"/>
                <w:sz w:val="28"/>
                <w:szCs w:val="28"/>
              </w:rPr>
              <w:t>100</w:t>
            </w:r>
          </w:p>
        </w:tc>
        <w:tc>
          <w:tcPr>
            <w:tcW w:w="1072"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val="0"/>
              <w:snapToGrid w:val="0"/>
              <w:jc w:val="center"/>
              <w:rPr>
                <w:rFonts w:ascii="仿宋" w:hAnsi="仿宋" w:eastAsia="仿宋"/>
                <w:kern w:val="0"/>
                <w:sz w:val="28"/>
                <w:szCs w:val="28"/>
              </w:rPr>
            </w:pPr>
            <w:r>
              <w:rPr>
                <w:rFonts w:hint="eastAsia" w:ascii="仿宋" w:hAnsi="仿宋" w:eastAsia="仿宋"/>
                <w:kern w:val="0"/>
                <w:sz w:val="28"/>
                <w:szCs w:val="28"/>
              </w:rPr>
              <w:t>1000</w:t>
            </w:r>
          </w:p>
        </w:tc>
        <w:tc>
          <w:tcPr>
            <w:tcW w:w="2274" w:type="dxa"/>
            <w:tcBorders>
              <w:top w:val="single" w:color="auto" w:sz="8" w:space="0"/>
              <w:left w:val="single" w:color="auto" w:sz="8" w:space="0"/>
              <w:bottom w:val="single" w:color="auto" w:sz="8" w:space="0"/>
              <w:right w:val="single" w:color="auto" w:sz="8" w:space="0"/>
            </w:tcBorders>
            <w:shd w:val="clear" w:color="auto" w:fill="FFFFFF"/>
            <w:vAlign w:val="center"/>
          </w:tcPr>
          <w:p>
            <w:pPr>
              <w:tabs>
                <w:tab w:val="left" w:pos="0"/>
                <w:tab w:val="left" w:pos="425"/>
              </w:tabs>
              <w:spacing w:line="500" w:lineRule="exact"/>
              <w:jc w:val="center"/>
              <w:outlineLvl w:val="3"/>
              <w:rPr>
                <w:rFonts w:ascii="仿宋" w:hAnsi="仿宋" w:eastAsia="仿宋"/>
                <w:kern w:val="0"/>
                <w:sz w:val="28"/>
                <w:szCs w:val="28"/>
              </w:rPr>
            </w:pPr>
            <w:r>
              <w:rPr>
                <w:rFonts w:hint="eastAsia" w:ascii="仿宋" w:hAnsi="仿宋" w:eastAsia="仿宋"/>
                <w:kern w:val="0"/>
                <w:sz w:val="28"/>
                <w:szCs w:val="28"/>
              </w:rPr>
              <w:t>GB 4789.10 第二法</w:t>
            </w:r>
          </w:p>
        </w:tc>
        <w:tc>
          <w:tcPr>
            <w:tcW w:w="964" w:type="dxa"/>
            <w:vMerge w:val="continue"/>
            <w:tcBorders>
              <w:left w:val="single" w:color="auto" w:sz="8" w:space="0"/>
              <w:right w:val="single" w:color="auto" w:sz="8" w:space="0"/>
            </w:tcBorders>
            <w:shd w:val="clear" w:color="auto" w:fill="FFFFFF"/>
            <w:vAlign w:val="center"/>
          </w:tcPr>
          <w:p>
            <w:pPr>
              <w:tabs>
                <w:tab w:val="left" w:pos="0"/>
                <w:tab w:val="left" w:pos="425"/>
              </w:tabs>
              <w:spacing w:line="500" w:lineRule="exact"/>
              <w:ind w:firstLine="560" w:firstLineChars="200"/>
              <w:jc w:val="center"/>
              <w:outlineLvl w:val="3"/>
              <w:rPr>
                <w:rFonts w:ascii="仿宋" w:hAnsi="仿宋"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42" w:type="dxa"/>
            <w:tcBorders>
              <w:top w:val="single" w:color="auto" w:sz="8" w:space="0"/>
              <w:left w:val="single" w:color="auto" w:sz="8" w:space="0"/>
              <w:bottom w:val="single" w:color="auto" w:sz="8" w:space="0"/>
              <w:right w:val="single" w:color="auto" w:sz="8" w:space="0"/>
            </w:tcBorders>
            <w:shd w:val="clear" w:color="auto" w:fill="FFFFFF"/>
            <w:vAlign w:val="center"/>
          </w:tcPr>
          <w:p>
            <w:pPr>
              <w:tabs>
                <w:tab w:val="left" w:pos="0"/>
                <w:tab w:val="left" w:pos="425"/>
              </w:tabs>
              <w:spacing w:line="500" w:lineRule="exact"/>
              <w:jc w:val="center"/>
              <w:outlineLvl w:val="3"/>
              <w:rPr>
                <w:rFonts w:ascii="仿宋" w:hAnsi="仿宋" w:eastAsia="仿宋" w:cs="仿宋"/>
                <w:kern w:val="0"/>
                <w:sz w:val="28"/>
                <w:szCs w:val="28"/>
              </w:rPr>
            </w:pPr>
            <w:r>
              <w:rPr>
                <w:rFonts w:hint="eastAsia" w:ascii="仿宋" w:hAnsi="仿宋" w:eastAsia="仿宋" w:cs="仿宋"/>
                <w:kern w:val="0"/>
                <w:sz w:val="28"/>
                <w:szCs w:val="28"/>
              </w:rPr>
              <w:t>菌落总数/（CFU/g）</w:t>
            </w:r>
          </w:p>
        </w:tc>
        <w:tc>
          <w:tcPr>
            <w:tcW w:w="851" w:type="dxa"/>
            <w:tcBorders>
              <w:top w:val="single" w:color="auto" w:sz="8" w:space="0"/>
              <w:left w:val="single" w:color="auto" w:sz="8" w:space="0"/>
              <w:bottom w:val="single" w:color="auto" w:sz="8" w:space="0"/>
              <w:right w:val="single" w:color="auto" w:sz="4" w:space="0"/>
            </w:tcBorders>
            <w:shd w:val="clear" w:color="auto" w:fill="FFFFFF"/>
            <w:vAlign w:val="center"/>
          </w:tcPr>
          <w:p>
            <w:pPr>
              <w:adjustRightInd w:val="0"/>
              <w:snapToGrid w:val="0"/>
              <w:jc w:val="center"/>
              <w:rPr>
                <w:rFonts w:ascii="仿宋" w:hAnsi="仿宋" w:eastAsia="仿宋"/>
                <w:kern w:val="0"/>
                <w:sz w:val="28"/>
                <w:szCs w:val="28"/>
              </w:rPr>
            </w:pPr>
            <w:r>
              <w:rPr>
                <w:rFonts w:hint="eastAsia" w:ascii="仿宋" w:hAnsi="仿宋" w:eastAsia="仿宋"/>
                <w:kern w:val="0"/>
                <w:sz w:val="28"/>
                <w:szCs w:val="28"/>
              </w:rPr>
              <w:t>5</w:t>
            </w:r>
          </w:p>
        </w:tc>
        <w:tc>
          <w:tcPr>
            <w:tcW w:w="850" w:type="dxa"/>
            <w:tcBorders>
              <w:top w:val="single" w:color="auto" w:sz="8" w:space="0"/>
              <w:left w:val="single" w:color="auto" w:sz="4" w:space="0"/>
              <w:bottom w:val="single" w:color="auto" w:sz="8" w:space="0"/>
              <w:right w:val="single" w:color="auto" w:sz="4" w:space="0"/>
            </w:tcBorders>
            <w:shd w:val="clear" w:color="auto" w:fill="FFFFFF"/>
            <w:vAlign w:val="center"/>
          </w:tcPr>
          <w:p>
            <w:pPr>
              <w:adjustRightInd w:val="0"/>
              <w:snapToGrid w:val="0"/>
              <w:jc w:val="center"/>
              <w:rPr>
                <w:rFonts w:ascii="仿宋" w:hAnsi="仿宋" w:eastAsia="仿宋"/>
                <w:kern w:val="0"/>
                <w:sz w:val="28"/>
                <w:szCs w:val="28"/>
              </w:rPr>
            </w:pPr>
            <w:r>
              <w:rPr>
                <w:rFonts w:hint="eastAsia" w:ascii="仿宋" w:hAnsi="仿宋" w:eastAsia="仿宋"/>
                <w:kern w:val="0"/>
                <w:sz w:val="28"/>
                <w:szCs w:val="28"/>
              </w:rPr>
              <w:t>2</w:t>
            </w:r>
          </w:p>
        </w:tc>
        <w:tc>
          <w:tcPr>
            <w:tcW w:w="1134" w:type="dxa"/>
            <w:tcBorders>
              <w:top w:val="single" w:color="auto" w:sz="8" w:space="0"/>
              <w:left w:val="single" w:color="auto" w:sz="4" w:space="0"/>
              <w:bottom w:val="single" w:color="auto" w:sz="8" w:space="0"/>
              <w:right w:val="single" w:color="auto" w:sz="4" w:space="0"/>
            </w:tcBorders>
            <w:shd w:val="clear" w:color="auto" w:fill="FFFFFF"/>
            <w:vAlign w:val="center"/>
          </w:tcPr>
          <w:p>
            <w:pPr>
              <w:adjustRightInd w:val="0"/>
              <w:snapToGrid w:val="0"/>
              <w:jc w:val="center"/>
              <w:rPr>
                <w:rFonts w:ascii="仿宋" w:hAnsi="仿宋" w:eastAsia="仿宋"/>
                <w:kern w:val="0"/>
                <w:sz w:val="28"/>
                <w:szCs w:val="28"/>
              </w:rPr>
            </w:pPr>
            <w:r>
              <w:rPr>
                <w:rFonts w:hint="eastAsia" w:ascii="仿宋" w:hAnsi="仿宋" w:eastAsia="仿宋"/>
                <w:kern w:val="0"/>
                <w:sz w:val="28"/>
                <w:szCs w:val="28"/>
              </w:rPr>
              <w:t>1000</w:t>
            </w:r>
          </w:p>
        </w:tc>
        <w:tc>
          <w:tcPr>
            <w:tcW w:w="1072" w:type="dxa"/>
            <w:tcBorders>
              <w:top w:val="single" w:color="auto" w:sz="8" w:space="0"/>
              <w:left w:val="single" w:color="auto" w:sz="4" w:space="0"/>
              <w:bottom w:val="single" w:color="auto" w:sz="8" w:space="0"/>
              <w:right w:val="single" w:color="auto" w:sz="8" w:space="0"/>
            </w:tcBorders>
            <w:shd w:val="clear" w:color="auto" w:fill="FFFFFF"/>
            <w:vAlign w:val="center"/>
          </w:tcPr>
          <w:p>
            <w:pPr>
              <w:adjustRightInd w:val="0"/>
              <w:snapToGrid w:val="0"/>
              <w:jc w:val="center"/>
              <w:rPr>
                <w:rFonts w:ascii="仿宋" w:hAnsi="仿宋" w:eastAsia="仿宋"/>
                <w:kern w:val="0"/>
                <w:sz w:val="28"/>
                <w:szCs w:val="28"/>
              </w:rPr>
            </w:pPr>
            <w:r>
              <w:rPr>
                <w:rFonts w:hint="eastAsia" w:ascii="仿宋" w:hAnsi="仿宋" w:eastAsia="仿宋"/>
                <w:kern w:val="0"/>
                <w:sz w:val="28"/>
                <w:szCs w:val="28"/>
              </w:rPr>
              <w:t>10000</w:t>
            </w:r>
          </w:p>
        </w:tc>
        <w:tc>
          <w:tcPr>
            <w:tcW w:w="2274"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val="0"/>
              <w:snapToGrid w:val="0"/>
              <w:jc w:val="center"/>
              <w:rPr>
                <w:rFonts w:ascii="仿宋" w:hAnsi="仿宋" w:eastAsia="仿宋"/>
                <w:kern w:val="0"/>
                <w:sz w:val="28"/>
                <w:szCs w:val="28"/>
              </w:rPr>
            </w:pPr>
            <w:r>
              <w:rPr>
                <w:rFonts w:hint="eastAsia" w:ascii="仿宋" w:hAnsi="仿宋" w:eastAsia="仿宋"/>
                <w:kern w:val="0"/>
                <w:sz w:val="28"/>
                <w:szCs w:val="28"/>
              </w:rPr>
              <w:t>GB 4789.2</w:t>
            </w:r>
          </w:p>
        </w:tc>
        <w:tc>
          <w:tcPr>
            <w:tcW w:w="964" w:type="dxa"/>
            <w:vMerge w:val="continue"/>
            <w:tcBorders>
              <w:left w:val="single" w:color="auto" w:sz="8" w:space="0"/>
              <w:right w:val="single" w:color="auto" w:sz="8" w:space="0"/>
            </w:tcBorders>
            <w:shd w:val="clear" w:color="auto" w:fill="FFFFFF"/>
            <w:vAlign w:val="center"/>
          </w:tcPr>
          <w:p>
            <w:pPr>
              <w:tabs>
                <w:tab w:val="left" w:pos="0"/>
                <w:tab w:val="left" w:pos="425"/>
              </w:tabs>
              <w:spacing w:line="500" w:lineRule="exact"/>
              <w:ind w:firstLine="560" w:firstLineChars="200"/>
              <w:jc w:val="center"/>
              <w:outlineLvl w:val="3"/>
              <w:rPr>
                <w:rFonts w:ascii="仿宋" w:hAnsi="仿宋"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42" w:type="dxa"/>
            <w:tcBorders>
              <w:top w:val="single" w:color="auto" w:sz="8" w:space="0"/>
              <w:left w:val="single" w:color="auto" w:sz="8" w:space="0"/>
              <w:bottom w:val="single" w:color="auto" w:sz="8" w:space="0"/>
              <w:right w:val="single" w:color="auto" w:sz="8" w:space="0"/>
            </w:tcBorders>
            <w:shd w:val="clear" w:color="auto" w:fill="FFFFFF"/>
            <w:vAlign w:val="center"/>
          </w:tcPr>
          <w:p>
            <w:pPr>
              <w:tabs>
                <w:tab w:val="left" w:pos="0"/>
                <w:tab w:val="left" w:pos="425"/>
              </w:tabs>
              <w:spacing w:line="500" w:lineRule="exact"/>
              <w:jc w:val="center"/>
              <w:outlineLvl w:val="3"/>
              <w:rPr>
                <w:rFonts w:ascii="仿宋" w:hAnsi="仿宋" w:eastAsia="仿宋" w:cs="仿宋"/>
                <w:kern w:val="0"/>
                <w:sz w:val="28"/>
                <w:szCs w:val="28"/>
              </w:rPr>
            </w:pPr>
            <w:r>
              <w:rPr>
                <w:rFonts w:hint="eastAsia" w:ascii="仿宋" w:hAnsi="仿宋" w:eastAsia="仿宋" w:cs="仿宋"/>
                <w:kern w:val="0"/>
                <w:sz w:val="28"/>
                <w:szCs w:val="28"/>
              </w:rPr>
              <w:t>大肠菌群/（CFU/g）</w:t>
            </w:r>
          </w:p>
        </w:tc>
        <w:tc>
          <w:tcPr>
            <w:tcW w:w="851" w:type="dxa"/>
            <w:tcBorders>
              <w:top w:val="single" w:color="auto" w:sz="8" w:space="0"/>
              <w:left w:val="single" w:color="auto" w:sz="8" w:space="0"/>
              <w:bottom w:val="single" w:color="auto" w:sz="8" w:space="0"/>
              <w:right w:val="single" w:color="auto" w:sz="4" w:space="0"/>
            </w:tcBorders>
            <w:shd w:val="clear" w:color="auto" w:fill="FFFFFF"/>
            <w:vAlign w:val="center"/>
          </w:tcPr>
          <w:p>
            <w:pPr>
              <w:adjustRightInd w:val="0"/>
              <w:snapToGrid w:val="0"/>
              <w:jc w:val="center"/>
              <w:rPr>
                <w:rFonts w:ascii="仿宋" w:hAnsi="仿宋" w:eastAsia="仿宋"/>
                <w:kern w:val="0"/>
                <w:sz w:val="28"/>
                <w:szCs w:val="28"/>
              </w:rPr>
            </w:pPr>
            <w:r>
              <w:rPr>
                <w:rFonts w:hint="eastAsia" w:ascii="仿宋" w:hAnsi="仿宋" w:eastAsia="仿宋"/>
                <w:kern w:val="0"/>
                <w:sz w:val="28"/>
                <w:szCs w:val="28"/>
              </w:rPr>
              <w:t>5</w:t>
            </w:r>
          </w:p>
        </w:tc>
        <w:tc>
          <w:tcPr>
            <w:tcW w:w="850" w:type="dxa"/>
            <w:tcBorders>
              <w:top w:val="single" w:color="auto" w:sz="8" w:space="0"/>
              <w:left w:val="single" w:color="auto" w:sz="4" w:space="0"/>
              <w:bottom w:val="single" w:color="auto" w:sz="8" w:space="0"/>
              <w:right w:val="single" w:color="auto" w:sz="4" w:space="0"/>
            </w:tcBorders>
            <w:shd w:val="clear" w:color="auto" w:fill="FFFFFF"/>
            <w:vAlign w:val="center"/>
          </w:tcPr>
          <w:p>
            <w:pPr>
              <w:adjustRightInd w:val="0"/>
              <w:snapToGrid w:val="0"/>
              <w:jc w:val="center"/>
              <w:rPr>
                <w:rFonts w:ascii="仿宋" w:hAnsi="仿宋" w:eastAsia="仿宋"/>
                <w:kern w:val="0"/>
                <w:sz w:val="28"/>
                <w:szCs w:val="28"/>
              </w:rPr>
            </w:pPr>
            <w:r>
              <w:rPr>
                <w:rFonts w:hint="eastAsia" w:ascii="仿宋" w:hAnsi="仿宋" w:eastAsia="仿宋"/>
                <w:kern w:val="0"/>
                <w:sz w:val="28"/>
                <w:szCs w:val="28"/>
              </w:rPr>
              <w:t>2</w:t>
            </w:r>
          </w:p>
        </w:tc>
        <w:tc>
          <w:tcPr>
            <w:tcW w:w="1134" w:type="dxa"/>
            <w:tcBorders>
              <w:top w:val="single" w:color="auto" w:sz="8" w:space="0"/>
              <w:left w:val="single" w:color="auto" w:sz="4" w:space="0"/>
              <w:bottom w:val="single" w:color="auto" w:sz="8" w:space="0"/>
              <w:right w:val="single" w:color="auto" w:sz="4" w:space="0"/>
            </w:tcBorders>
            <w:shd w:val="clear" w:color="auto" w:fill="FFFFFF"/>
            <w:vAlign w:val="center"/>
          </w:tcPr>
          <w:p>
            <w:pPr>
              <w:adjustRightInd w:val="0"/>
              <w:snapToGrid w:val="0"/>
              <w:jc w:val="center"/>
              <w:rPr>
                <w:rFonts w:ascii="仿宋" w:hAnsi="仿宋" w:eastAsia="仿宋"/>
                <w:kern w:val="0"/>
                <w:sz w:val="28"/>
                <w:szCs w:val="28"/>
              </w:rPr>
            </w:pPr>
            <w:r>
              <w:rPr>
                <w:rFonts w:hint="eastAsia" w:ascii="仿宋" w:hAnsi="仿宋" w:eastAsia="仿宋"/>
                <w:kern w:val="0"/>
                <w:sz w:val="28"/>
                <w:szCs w:val="28"/>
              </w:rPr>
              <w:t>10</w:t>
            </w:r>
          </w:p>
        </w:tc>
        <w:tc>
          <w:tcPr>
            <w:tcW w:w="1072" w:type="dxa"/>
            <w:tcBorders>
              <w:top w:val="single" w:color="auto" w:sz="8" w:space="0"/>
              <w:left w:val="single" w:color="auto" w:sz="4" w:space="0"/>
              <w:bottom w:val="single" w:color="auto" w:sz="8" w:space="0"/>
              <w:right w:val="single" w:color="auto" w:sz="8" w:space="0"/>
            </w:tcBorders>
            <w:shd w:val="clear" w:color="auto" w:fill="FFFFFF"/>
            <w:vAlign w:val="center"/>
          </w:tcPr>
          <w:p>
            <w:pPr>
              <w:adjustRightInd w:val="0"/>
              <w:snapToGrid w:val="0"/>
              <w:jc w:val="center"/>
              <w:rPr>
                <w:rFonts w:ascii="仿宋" w:hAnsi="仿宋" w:eastAsia="仿宋"/>
                <w:kern w:val="0"/>
                <w:sz w:val="28"/>
                <w:szCs w:val="28"/>
              </w:rPr>
            </w:pPr>
            <w:r>
              <w:rPr>
                <w:rFonts w:hint="eastAsia" w:ascii="仿宋" w:hAnsi="仿宋" w:eastAsia="仿宋"/>
                <w:kern w:val="0"/>
                <w:sz w:val="28"/>
                <w:szCs w:val="28"/>
              </w:rPr>
              <w:t>100</w:t>
            </w:r>
          </w:p>
        </w:tc>
        <w:tc>
          <w:tcPr>
            <w:tcW w:w="2274" w:type="dxa"/>
            <w:tcBorders>
              <w:top w:val="single" w:color="auto" w:sz="8" w:space="0"/>
              <w:left w:val="single" w:color="auto" w:sz="8" w:space="0"/>
              <w:bottom w:val="single" w:color="auto" w:sz="8" w:space="0"/>
              <w:right w:val="single" w:color="auto" w:sz="8" w:space="0"/>
            </w:tcBorders>
            <w:shd w:val="clear" w:color="auto" w:fill="FFFFFF"/>
            <w:vAlign w:val="center"/>
          </w:tcPr>
          <w:p>
            <w:pPr>
              <w:tabs>
                <w:tab w:val="left" w:pos="0"/>
                <w:tab w:val="left" w:pos="425"/>
              </w:tabs>
              <w:spacing w:line="500" w:lineRule="exact"/>
              <w:jc w:val="center"/>
              <w:outlineLvl w:val="3"/>
              <w:rPr>
                <w:rFonts w:ascii="仿宋" w:hAnsi="仿宋" w:eastAsia="仿宋" w:cs="仿宋"/>
                <w:kern w:val="0"/>
                <w:sz w:val="28"/>
                <w:szCs w:val="28"/>
              </w:rPr>
            </w:pPr>
            <w:r>
              <w:rPr>
                <w:rFonts w:hint="eastAsia" w:ascii="仿宋" w:hAnsi="仿宋" w:eastAsia="仿宋" w:cs="仿宋"/>
                <w:kern w:val="0"/>
                <w:sz w:val="28"/>
                <w:szCs w:val="28"/>
              </w:rPr>
              <w:t>GB 4789.3平板计数法</w:t>
            </w:r>
          </w:p>
        </w:tc>
        <w:tc>
          <w:tcPr>
            <w:tcW w:w="964" w:type="dxa"/>
            <w:vMerge w:val="continue"/>
            <w:tcBorders>
              <w:left w:val="single" w:color="auto" w:sz="8" w:space="0"/>
              <w:right w:val="single" w:color="auto" w:sz="8" w:space="0"/>
            </w:tcBorders>
            <w:shd w:val="clear" w:color="auto" w:fill="FFFFFF"/>
            <w:vAlign w:val="center"/>
          </w:tcPr>
          <w:p>
            <w:pPr>
              <w:tabs>
                <w:tab w:val="left" w:pos="0"/>
                <w:tab w:val="left" w:pos="425"/>
              </w:tabs>
              <w:spacing w:line="500" w:lineRule="exact"/>
              <w:ind w:firstLine="560" w:firstLineChars="200"/>
              <w:jc w:val="center"/>
              <w:outlineLvl w:val="3"/>
              <w:rPr>
                <w:rFonts w:ascii="仿宋" w:hAnsi="仿宋"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42" w:type="dxa"/>
            <w:tcBorders>
              <w:top w:val="single" w:color="auto" w:sz="8" w:space="0"/>
              <w:left w:val="single" w:color="auto" w:sz="8" w:space="0"/>
              <w:bottom w:val="single" w:color="auto" w:sz="8" w:space="0"/>
              <w:right w:val="single" w:color="auto" w:sz="8" w:space="0"/>
            </w:tcBorders>
            <w:shd w:val="clear" w:color="auto" w:fill="FFFFFF"/>
            <w:vAlign w:val="center"/>
          </w:tcPr>
          <w:p>
            <w:pPr>
              <w:tabs>
                <w:tab w:val="left" w:pos="0"/>
                <w:tab w:val="left" w:pos="425"/>
              </w:tabs>
              <w:spacing w:line="500" w:lineRule="exact"/>
              <w:jc w:val="center"/>
              <w:outlineLvl w:val="3"/>
              <w:rPr>
                <w:rFonts w:ascii="仿宋" w:hAnsi="仿宋" w:eastAsia="仿宋" w:cs="仿宋"/>
                <w:kern w:val="0"/>
                <w:sz w:val="28"/>
                <w:szCs w:val="28"/>
              </w:rPr>
            </w:pPr>
            <w:r>
              <w:rPr>
                <w:rFonts w:hint="eastAsia" w:ascii="仿宋" w:hAnsi="仿宋" w:eastAsia="仿宋" w:cs="仿宋"/>
                <w:kern w:val="0"/>
                <w:sz w:val="28"/>
                <w:szCs w:val="28"/>
              </w:rPr>
              <w:t>霉菌/（CFU/g）≤</w:t>
            </w:r>
          </w:p>
        </w:tc>
        <w:tc>
          <w:tcPr>
            <w:tcW w:w="3907"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adjustRightInd w:val="0"/>
              <w:snapToGrid w:val="0"/>
              <w:jc w:val="center"/>
              <w:rPr>
                <w:rFonts w:ascii="仿宋" w:hAnsi="仿宋" w:eastAsia="仿宋"/>
                <w:kern w:val="0"/>
                <w:sz w:val="28"/>
                <w:szCs w:val="28"/>
              </w:rPr>
            </w:pPr>
            <w:r>
              <w:rPr>
                <w:rFonts w:hint="eastAsia" w:ascii="仿宋" w:hAnsi="仿宋" w:eastAsia="仿宋"/>
                <w:kern w:val="0"/>
                <w:sz w:val="28"/>
                <w:szCs w:val="28"/>
              </w:rPr>
              <w:t>50</w:t>
            </w:r>
          </w:p>
        </w:tc>
        <w:tc>
          <w:tcPr>
            <w:tcW w:w="2274" w:type="dxa"/>
            <w:tcBorders>
              <w:top w:val="single" w:color="auto" w:sz="8" w:space="0"/>
              <w:left w:val="single" w:color="auto" w:sz="8" w:space="0"/>
              <w:bottom w:val="single" w:color="auto" w:sz="8" w:space="0"/>
              <w:right w:val="single" w:color="auto" w:sz="8" w:space="0"/>
            </w:tcBorders>
            <w:shd w:val="clear" w:color="auto" w:fill="FFFFFF"/>
            <w:vAlign w:val="center"/>
          </w:tcPr>
          <w:p>
            <w:pPr>
              <w:tabs>
                <w:tab w:val="left" w:pos="0"/>
                <w:tab w:val="left" w:pos="425"/>
              </w:tabs>
              <w:spacing w:line="500" w:lineRule="exact"/>
              <w:jc w:val="center"/>
              <w:outlineLvl w:val="3"/>
              <w:rPr>
                <w:rFonts w:ascii="仿宋" w:hAnsi="仿宋" w:eastAsia="仿宋" w:cs="仿宋"/>
                <w:kern w:val="0"/>
                <w:sz w:val="28"/>
                <w:szCs w:val="28"/>
              </w:rPr>
            </w:pPr>
            <w:r>
              <w:rPr>
                <w:rFonts w:hint="eastAsia" w:ascii="仿宋" w:hAnsi="仿宋" w:eastAsia="仿宋"/>
                <w:kern w:val="0"/>
                <w:sz w:val="28"/>
                <w:szCs w:val="28"/>
              </w:rPr>
              <w:t>GB 4789.15</w:t>
            </w:r>
          </w:p>
        </w:tc>
        <w:tc>
          <w:tcPr>
            <w:tcW w:w="964" w:type="dxa"/>
            <w:vMerge w:val="continue"/>
            <w:tcBorders>
              <w:left w:val="single" w:color="auto" w:sz="8" w:space="0"/>
              <w:right w:val="single" w:color="auto" w:sz="8" w:space="0"/>
            </w:tcBorders>
            <w:shd w:val="clear" w:color="auto" w:fill="FFFFFF"/>
            <w:vAlign w:val="center"/>
          </w:tcPr>
          <w:p>
            <w:pPr>
              <w:tabs>
                <w:tab w:val="left" w:pos="0"/>
                <w:tab w:val="left" w:pos="425"/>
              </w:tabs>
              <w:spacing w:line="500" w:lineRule="exact"/>
              <w:ind w:firstLine="560" w:firstLineChars="200"/>
              <w:jc w:val="center"/>
              <w:outlineLvl w:val="3"/>
              <w:rPr>
                <w:rFonts w:ascii="仿宋" w:hAnsi="仿宋"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387" w:type="dxa"/>
            <w:gridSpan w:val="7"/>
            <w:tcBorders>
              <w:top w:val="single" w:color="auto" w:sz="8" w:space="0"/>
              <w:left w:val="single" w:color="auto" w:sz="8" w:space="0"/>
              <w:bottom w:val="single" w:color="auto" w:sz="8" w:space="0"/>
              <w:right w:val="single" w:color="auto" w:sz="8" w:space="0"/>
            </w:tcBorders>
            <w:shd w:val="clear" w:color="auto" w:fill="FFFFFF"/>
            <w:vAlign w:val="center"/>
          </w:tcPr>
          <w:p>
            <w:pPr>
              <w:tabs>
                <w:tab w:val="left" w:pos="0"/>
                <w:tab w:val="left" w:pos="425"/>
              </w:tabs>
              <w:spacing w:line="500" w:lineRule="exact"/>
              <w:jc w:val="left"/>
              <w:outlineLvl w:val="3"/>
              <w:rPr>
                <w:rFonts w:ascii="仿宋" w:hAnsi="仿宋" w:eastAsia="仿宋" w:cs="仿宋"/>
                <w:kern w:val="0"/>
                <w:sz w:val="28"/>
                <w:szCs w:val="28"/>
              </w:rPr>
            </w:pPr>
            <w:r>
              <w:rPr>
                <w:rFonts w:hint="eastAsia" w:ascii="仿宋" w:hAnsi="仿宋" w:eastAsia="仿宋" w:cs="仿宋"/>
                <w:kern w:val="0"/>
                <w:sz w:val="28"/>
                <w:szCs w:val="28"/>
              </w:rPr>
              <w:t>a样品的采样及处理按GB 4789.1 执行。n为同一批次产品应采集的样品件数；c为最大可允许超出m值的样品数；m为检测项目指标可接受水平的限量值；M为检测项目指标的最高安全限量值。</w:t>
            </w:r>
          </w:p>
        </w:tc>
      </w:tr>
    </w:tbl>
    <w:p>
      <w:pPr>
        <w:rPr>
          <w:rFonts w:ascii="仿宋" w:hAnsi="仿宋" w:eastAsia="仿宋"/>
          <w:sz w:val="28"/>
          <w:szCs w:val="28"/>
        </w:rPr>
      </w:pPr>
      <w:r>
        <w:rPr>
          <w:rFonts w:hint="eastAsia" w:ascii="仿宋" w:hAnsi="仿宋" w:eastAsia="仿宋" w:cs="仿宋_GB2312"/>
          <w:kern w:val="0"/>
          <w:sz w:val="28"/>
          <w:szCs w:val="28"/>
        </w:rPr>
        <w:br w:type="page"/>
      </w:r>
      <w:bookmarkStart w:id="0" w:name="_Toc13037"/>
      <w:r>
        <w:rPr>
          <w:rFonts w:hint="eastAsia" w:ascii="仿宋" w:hAnsi="仿宋" w:eastAsia="仿宋" w:cs="仿宋_GB2312"/>
          <w:bCs/>
          <w:sz w:val="28"/>
          <w:szCs w:val="28"/>
        </w:rPr>
        <w:t>附件</w:t>
      </w:r>
      <w:bookmarkEnd w:id="0"/>
      <w:r>
        <w:rPr>
          <w:rFonts w:hint="eastAsia" w:ascii="仿宋" w:hAnsi="仿宋" w:eastAsia="仿宋" w:cs="仿宋_GB2312"/>
          <w:bCs/>
          <w:sz w:val="28"/>
          <w:szCs w:val="28"/>
        </w:rPr>
        <w:t>二 ：</w:t>
      </w:r>
    </w:p>
    <w:p>
      <w:pPr>
        <w:spacing w:line="580" w:lineRule="exact"/>
        <w:jc w:val="center"/>
        <w:rPr>
          <w:rFonts w:ascii="仿宋" w:hAnsi="仿宋" w:eastAsia="仿宋" w:cs="仿宋"/>
          <w:b/>
          <w:bCs/>
          <w:color w:val="000000"/>
          <w:sz w:val="28"/>
          <w:szCs w:val="28"/>
        </w:rPr>
      </w:pPr>
      <w:bookmarkStart w:id="1" w:name="_Toc1540"/>
      <w:bookmarkStart w:id="2" w:name="_Toc427657331"/>
      <w:r>
        <w:rPr>
          <w:rFonts w:hint="eastAsia" w:ascii="仿宋" w:hAnsi="仿宋" w:eastAsia="仿宋" w:cs="仿宋"/>
          <w:b/>
          <w:bCs/>
          <w:color w:val="000000"/>
          <w:sz w:val="28"/>
          <w:szCs w:val="28"/>
        </w:rPr>
        <w:t>即食黄精（即食玉竹）生产所需主要原辅料</w:t>
      </w:r>
    </w:p>
    <w:p>
      <w:pPr>
        <w:spacing w:line="580" w:lineRule="exact"/>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及</w:t>
      </w:r>
      <w:bookmarkEnd w:id="1"/>
      <w:bookmarkEnd w:id="2"/>
      <w:bookmarkStart w:id="3" w:name="_Toc5884"/>
      <w:bookmarkStart w:id="4" w:name="_Toc427657332"/>
      <w:r>
        <w:rPr>
          <w:rFonts w:hint="eastAsia" w:ascii="仿宋" w:hAnsi="仿宋" w:eastAsia="仿宋" w:cs="仿宋"/>
          <w:b/>
          <w:bCs/>
          <w:color w:val="000000"/>
          <w:sz w:val="28"/>
          <w:szCs w:val="28"/>
        </w:rPr>
        <w:t>包材等涉及的主要标准</w:t>
      </w:r>
      <w:bookmarkEnd w:id="3"/>
      <w:bookmarkEnd w:id="4"/>
    </w:p>
    <w:p>
      <w:pPr>
        <w:spacing w:line="580" w:lineRule="exact"/>
        <w:jc w:val="center"/>
        <w:outlineLvl w:val="0"/>
        <w:rPr>
          <w:rFonts w:ascii="仿宋" w:hAnsi="仿宋" w:eastAsia="仿宋" w:cs="仿宋_GB2312"/>
          <w:b/>
          <w:bCs/>
          <w:sz w:val="28"/>
          <w:szCs w:val="28"/>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1"/>
        <w:gridCol w:w="2410"/>
        <w:gridCol w:w="5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146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ascii="仿宋" w:hAnsi="仿宋" w:eastAsia="仿宋"/>
                <w:sz w:val="28"/>
                <w:szCs w:val="28"/>
              </w:rPr>
            </w:pPr>
            <w:r>
              <w:rPr>
                <w:rFonts w:hint="eastAsia" w:ascii="仿宋" w:hAnsi="仿宋" w:eastAsia="仿宋"/>
                <w:sz w:val="28"/>
                <w:szCs w:val="28"/>
              </w:rPr>
              <w:t>序号</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400" w:lineRule="exact"/>
              <w:jc w:val="center"/>
              <w:rPr>
                <w:rFonts w:ascii="仿宋" w:hAnsi="仿宋" w:eastAsia="仿宋"/>
                <w:sz w:val="28"/>
                <w:szCs w:val="28"/>
              </w:rPr>
            </w:pPr>
            <w:r>
              <w:rPr>
                <w:rFonts w:hint="eastAsia" w:ascii="仿宋" w:hAnsi="仿宋" w:eastAsia="仿宋"/>
                <w:sz w:val="28"/>
                <w:szCs w:val="28"/>
              </w:rPr>
              <w:t>国家标准</w:t>
            </w:r>
          </w:p>
        </w:tc>
        <w:tc>
          <w:tcPr>
            <w:tcW w:w="522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400" w:lineRule="exact"/>
              <w:jc w:val="center"/>
              <w:rPr>
                <w:rFonts w:ascii="仿宋" w:hAnsi="仿宋" w:eastAsia="仿宋"/>
                <w:sz w:val="28"/>
                <w:szCs w:val="28"/>
              </w:rPr>
            </w:pPr>
            <w:r>
              <w:rPr>
                <w:rFonts w:hint="eastAsia" w:ascii="仿宋" w:hAnsi="仿宋" w:eastAsia="仿宋"/>
                <w:sz w:val="28"/>
                <w:szCs w:val="28"/>
              </w:rPr>
              <w:t>（原辅料）标准名称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360" w:lineRule="exact"/>
              <w:jc w:val="center"/>
              <w:rPr>
                <w:rFonts w:ascii="仿宋" w:hAnsi="仿宋" w:eastAsia="仿宋"/>
                <w:sz w:val="28"/>
                <w:szCs w:val="2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FF0000"/>
                <w:sz w:val="28"/>
                <w:szCs w:val="28"/>
              </w:rPr>
            </w:pPr>
            <w:r>
              <w:rPr>
                <w:rFonts w:hint="eastAsia" w:ascii="仿宋" w:hAnsi="仿宋" w:eastAsia="仿宋"/>
                <w:sz w:val="28"/>
                <w:szCs w:val="28"/>
              </w:rPr>
              <w:t>GB/T 317</w:t>
            </w:r>
          </w:p>
        </w:tc>
        <w:tc>
          <w:tcPr>
            <w:tcW w:w="52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白砂糖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360" w:lineRule="exact"/>
              <w:jc w:val="center"/>
              <w:rPr>
                <w:rFonts w:ascii="仿宋" w:hAnsi="仿宋" w:eastAsia="仿宋"/>
                <w:sz w:val="28"/>
                <w:szCs w:val="2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GB 2762</w:t>
            </w:r>
          </w:p>
        </w:tc>
        <w:tc>
          <w:tcPr>
            <w:tcW w:w="52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食品安全国家标准 食品中污染物限量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360" w:lineRule="exact"/>
              <w:jc w:val="center"/>
              <w:rPr>
                <w:rFonts w:ascii="仿宋" w:hAnsi="仿宋" w:eastAsia="仿宋"/>
                <w:sz w:val="28"/>
                <w:szCs w:val="2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GB 2763</w:t>
            </w:r>
          </w:p>
        </w:tc>
        <w:tc>
          <w:tcPr>
            <w:tcW w:w="52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食品安全国家标准 食品中农药最大残留限量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360" w:lineRule="exact"/>
              <w:jc w:val="center"/>
              <w:rPr>
                <w:rFonts w:ascii="仿宋" w:hAnsi="仿宋" w:eastAsia="仿宋"/>
                <w:sz w:val="28"/>
                <w:szCs w:val="2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GB 4806.7</w:t>
            </w:r>
          </w:p>
        </w:tc>
        <w:tc>
          <w:tcPr>
            <w:tcW w:w="52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食品安全国家标准 食品接触用塑料材料及制品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360" w:lineRule="exact"/>
              <w:jc w:val="center"/>
              <w:rPr>
                <w:rFonts w:ascii="仿宋" w:hAnsi="仿宋" w:eastAsia="仿宋"/>
                <w:sz w:val="28"/>
                <w:szCs w:val="2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GB 5749</w:t>
            </w:r>
          </w:p>
        </w:tc>
        <w:tc>
          <w:tcPr>
            <w:tcW w:w="52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生活饮用水卫生标准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360" w:lineRule="exact"/>
              <w:jc w:val="center"/>
              <w:rPr>
                <w:rFonts w:ascii="仿宋" w:hAnsi="仿宋" w:eastAsia="仿宋"/>
                <w:sz w:val="28"/>
                <w:szCs w:val="2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GB 7718</w:t>
            </w:r>
          </w:p>
        </w:tc>
        <w:tc>
          <w:tcPr>
            <w:tcW w:w="52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食品安全国家标准 预包装食品标签通则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360" w:lineRule="exact"/>
              <w:jc w:val="center"/>
              <w:rPr>
                <w:rFonts w:ascii="仿宋" w:hAnsi="仿宋" w:eastAsia="仿宋"/>
                <w:sz w:val="28"/>
                <w:szCs w:val="2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GB 9683</w:t>
            </w:r>
          </w:p>
        </w:tc>
        <w:tc>
          <w:tcPr>
            <w:tcW w:w="52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复合食品包装袋卫生标准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360" w:lineRule="exact"/>
              <w:jc w:val="center"/>
              <w:rPr>
                <w:rFonts w:ascii="仿宋" w:hAnsi="仿宋" w:eastAsia="仿宋"/>
                <w:sz w:val="28"/>
                <w:szCs w:val="2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GB 9685</w:t>
            </w:r>
          </w:p>
        </w:tc>
        <w:tc>
          <w:tcPr>
            <w:tcW w:w="52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食品安全国家标准 食品接触材料及制品用添加剂使用标准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360" w:lineRule="exact"/>
              <w:jc w:val="center"/>
              <w:rPr>
                <w:rFonts w:ascii="仿宋" w:hAnsi="仿宋" w:eastAsia="仿宋"/>
                <w:sz w:val="28"/>
                <w:szCs w:val="2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GB/T 10004</w:t>
            </w:r>
          </w:p>
        </w:tc>
        <w:tc>
          <w:tcPr>
            <w:tcW w:w="52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包装用塑料复合膜、袋干法复合、挤出复合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360" w:lineRule="exact"/>
              <w:jc w:val="center"/>
              <w:rPr>
                <w:rFonts w:ascii="仿宋" w:hAnsi="仿宋" w:eastAsia="仿宋"/>
                <w:sz w:val="28"/>
                <w:szCs w:val="2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GB/T 13662</w:t>
            </w:r>
          </w:p>
        </w:tc>
        <w:tc>
          <w:tcPr>
            <w:tcW w:w="52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黄酒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360" w:lineRule="exact"/>
              <w:jc w:val="center"/>
              <w:rPr>
                <w:rFonts w:ascii="仿宋" w:hAnsi="仿宋" w:eastAsia="仿宋"/>
                <w:sz w:val="28"/>
                <w:szCs w:val="2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GB 14963</w:t>
            </w:r>
          </w:p>
        </w:tc>
        <w:tc>
          <w:tcPr>
            <w:tcW w:w="52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食品安全国家标准 蜂蜜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360" w:lineRule="exact"/>
              <w:jc w:val="center"/>
              <w:rPr>
                <w:rFonts w:ascii="仿宋" w:hAnsi="仿宋" w:eastAsia="仿宋"/>
                <w:sz w:val="28"/>
                <w:szCs w:val="2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ascii="仿宋" w:hAnsi="仿宋" w:eastAsia="仿宋"/>
                <w:sz w:val="28"/>
                <w:szCs w:val="28"/>
              </w:rPr>
              <w:t>GB 15203</w:t>
            </w:r>
          </w:p>
        </w:tc>
        <w:tc>
          <w:tcPr>
            <w:tcW w:w="52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ascii="仿宋" w:hAnsi="仿宋" w:eastAsia="仿宋"/>
                <w:sz w:val="28"/>
                <w:szCs w:val="28"/>
              </w:rPr>
              <w:t>食品安全国家标准 淀粉糖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360" w:lineRule="exact"/>
              <w:jc w:val="center"/>
              <w:rPr>
                <w:rFonts w:ascii="仿宋" w:hAnsi="仿宋" w:eastAsia="仿宋"/>
                <w:sz w:val="28"/>
                <w:szCs w:val="2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GB 28050</w:t>
            </w:r>
          </w:p>
        </w:tc>
        <w:tc>
          <w:tcPr>
            <w:tcW w:w="52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食品安全国家标准 预包装食品营养标签通则</w:t>
            </w:r>
          </w:p>
        </w:tc>
      </w:tr>
    </w:tbl>
    <w:p>
      <w:pPr>
        <w:rPr>
          <w:rFonts w:ascii="仿宋" w:hAnsi="仿宋" w:eastAsia="仿宋"/>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35410"/>
    <w:multiLevelType w:val="multilevel"/>
    <w:tmpl w:val="78135410"/>
    <w:lvl w:ilvl="0" w:tentative="0">
      <w:start w:val="1"/>
      <w:numFmt w:val="decimal"/>
      <w:suff w:val="nothing"/>
      <w:lvlText w:val="%1"/>
      <w:lvlJc w:val="left"/>
      <w:pPr>
        <w:ind w:left="0" w:firstLine="0"/>
      </w:pPr>
      <w:rPr>
        <w:rFonts w:hint="default" w:ascii="Times New Roman" w:hAnsi="Times New Roman" w:eastAsia="仿宋" w:cs="仿宋_GB2312"/>
      </w:rPr>
    </w:lvl>
    <w:lvl w:ilvl="1" w:tentative="0">
      <w:start w:val="1"/>
      <w:numFmt w:val="lowerLetter"/>
      <w:lvlText w:val="%2)"/>
      <w:lvlJc w:val="left"/>
      <w:pPr>
        <w:tabs>
          <w:tab w:val="left" w:pos="390"/>
        </w:tabs>
        <w:ind w:left="391" w:hanging="391"/>
      </w:pPr>
    </w:lvl>
    <w:lvl w:ilvl="2" w:tentative="0">
      <w:start w:val="1"/>
      <w:numFmt w:val="lowerRoman"/>
      <w:lvlText w:val="%3."/>
      <w:lvlJc w:val="right"/>
      <w:pPr>
        <w:tabs>
          <w:tab w:val="left" w:pos="390"/>
        </w:tabs>
        <w:ind w:left="391" w:hanging="391"/>
      </w:pPr>
    </w:lvl>
    <w:lvl w:ilvl="3" w:tentative="0">
      <w:start w:val="1"/>
      <w:numFmt w:val="decimal"/>
      <w:lvlText w:val="%4."/>
      <w:lvlJc w:val="left"/>
      <w:pPr>
        <w:tabs>
          <w:tab w:val="left" w:pos="390"/>
        </w:tabs>
        <w:ind w:left="391" w:hanging="391"/>
      </w:pPr>
    </w:lvl>
    <w:lvl w:ilvl="4" w:tentative="0">
      <w:start w:val="1"/>
      <w:numFmt w:val="lowerLetter"/>
      <w:lvlText w:val="%5)"/>
      <w:lvlJc w:val="left"/>
      <w:pPr>
        <w:tabs>
          <w:tab w:val="left" w:pos="390"/>
        </w:tabs>
        <w:ind w:left="391" w:hanging="391"/>
      </w:pPr>
    </w:lvl>
    <w:lvl w:ilvl="5" w:tentative="0">
      <w:start w:val="1"/>
      <w:numFmt w:val="lowerRoman"/>
      <w:lvlText w:val="%6."/>
      <w:lvlJc w:val="right"/>
      <w:pPr>
        <w:tabs>
          <w:tab w:val="left" w:pos="390"/>
        </w:tabs>
        <w:ind w:left="391" w:hanging="391"/>
      </w:pPr>
    </w:lvl>
    <w:lvl w:ilvl="6" w:tentative="0">
      <w:start w:val="1"/>
      <w:numFmt w:val="decimal"/>
      <w:lvlText w:val="%7."/>
      <w:lvlJc w:val="left"/>
      <w:pPr>
        <w:tabs>
          <w:tab w:val="left" w:pos="390"/>
        </w:tabs>
        <w:ind w:left="391" w:hanging="391"/>
      </w:pPr>
    </w:lvl>
    <w:lvl w:ilvl="7" w:tentative="0">
      <w:start w:val="1"/>
      <w:numFmt w:val="lowerLetter"/>
      <w:lvlText w:val="%8)"/>
      <w:lvlJc w:val="left"/>
      <w:pPr>
        <w:tabs>
          <w:tab w:val="left" w:pos="390"/>
        </w:tabs>
        <w:ind w:left="391" w:hanging="391"/>
      </w:pPr>
    </w:lvl>
    <w:lvl w:ilvl="8" w:tentative="0">
      <w:start w:val="1"/>
      <w:numFmt w:val="lowerRoman"/>
      <w:lvlText w:val="%9."/>
      <w:lvlJc w:val="right"/>
      <w:pPr>
        <w:tabs>
          <w:tab w:val="left" w:pos="390"/>
        </w:tabs>
        <w:ind w:left="391" w:hanging="391"/>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AF"/>
    <w:rsid w:val="000554B1"/>
    <w:rsid w:val="00100BBC"/>
    <w:rsid w:val="001D5273"/>
    <w:rsid w:val="001F0482"/>
    <w:rsid w:val="002004C4"/>
    <w:rsid w:val="00316417"/>
    <w:rsid w:val="00326DCC"/>
    <w:rsid w:val="00351D3F"/>
    <w:rsid w:val="00387B91"/>
    <w:rsid w:val="003D24E5"/>
    <w:rsid w:val="00466BC9"/>
    <w:rsid w:val="004D58FB"/>
    <w:rsid w:val="005B77D1"/>
    <w:rsid w:val="006069FE"/>
    <w:rsid w:val="006329AF"/>
    <w:rsid w:val="00641E87"/>
    <w:rsid w:val="00673720"/>
    <w:rsid w:val="00680B2D"/>
    <w:rsid w:val="006E6643"/>
    <w:rsid w:val="00724ED0"/>
    <w:rsid w:val="007454F5"/>
    <w:rsid w:val="0076032D"/>
    <w:rsid w:val="007820A8"/>
    <w:rsid w:val="0078354C"/>
    <w:rsid w:val="007B29CC"/>
    <w:rsid w:val="007F50F6"/>
    <w:rsid w:val="007F728B"/>
    <w:rsid w:val="00843214"/>
    <w:rsid w:val="008721E5"/>
    <w:rsid w:val="009C1377"/>
    <w:rsid w:val="009C1DC6"/>
    <w:rsid w:val="00AA4F20"/>
    <w:rsid w:val="00B22EB1"/>
    <w:rsid w:val="00BD35F6"/>
    <w:rsid w:val="00C26A0C"/>
    <w:rsid w:val="00CA271A"/>
    <w:rsid w:val="00D11E79"/>
    <w:rsid w:val="00D8200D"/>
    <w:rsid w:val="00DC6972"/>
    <w:rsid w:val="00DD0128"/>
    <w:rsid w:val="00E43393"/>
    <w:rsid w:val="00EB20A7"/>
    <w:rsid w:val="00EF4E95"/>
    <w:rsid w:val="00FF3AFE"/>
    <w:rsid w:val="01BB2E5F"/>
    <w:rsid w:val="034A093A"/>
    <w:rsid w:val="03C56ED2"/>
    <w:rsid w:val="044238CE"/>
    <w:rsid w:val="0590278C"/>
    <w:rsid w:val="07DD3339"/>
    <w:rsid w:val="0ECF5FC3"/>
    <w:rsid w:val="17417438"/>
    <w:rsid w:val="174679E7"/>
    <w:rsid w:val="18505C21"/>
    <w:rsid w:val="189126C2"/>
    <w:rsid w:val="190B570C"/>
    <w:rsid w:val="1A121821"/>
    <w:rsid w:val="1A6E3EBF"/>
    <w:rsid w:val="1A811B6D"/>
    <w:rsid w:val="1B536121"/>
    <w:rsid w:val="1C601FCA"/>
    <w:rsid w:val="1D3C0BD1"/>
    <w:rsid w:val="1D9C7E08"/>
    <w:rsid w:val="1F99684A"/>
    <w:rsid w:val="20876207"/>
    <w:rsid w:val="21073786"/>
    <w:rsid w:val="220C245A"/>
    <w:rsid w:val="223914AF"/>
    <w:rsid w:val="22BD6517"/>
    <w:rsid w:val="26E36B59"/>
    <w:rsid w:val="28914801"/>
    <w:rsid w:val="2ABE4DC2"/>
    <w:rsid w:val="2CDC4AD1"/>
    <w:rsid w:val="2E9F485A"/>
    <w:rsid w:val="2F34762C"/>
    <w:rsid w:val="2F6021D3"/>
    <w:rsid w:val="31891286"/>
    <w:rsid w:val="31987527"/>
    <w:rsid w:val="323D05CB"/>
    <w:rsid w:val="33A74E69"/>
    <w:rsid w:val="34E779BE"/>
    <w:rsid w:val="38D23757"/>
    <w:rsid w:val="399B4690"/>
    <w:rsid w:val="3C60707E"/>
    <w:rsid w:val="3CA3493C"/>
    <w:rsid w:val="3DBA259C"/>
    <w:rsid w:val="3E3F0E84"/>
    <w:rsid w:val="40051245"/>
    <w:rsid w:val="4298186B"/>
    <w:rsid w:val="440428E0"/>
    <w:rsid w:val="44440340"/>
    <w:rsid w:val="44ED3AD6"/>
    <w:rsid w:val="485F42E0"/>
    <w:rsid w:val="490E241B"/>
    <w:rsid w:val="4A6D7446"/>
    <w:rsid w:val="4A7E02DC"/>
    <w:rsid w:val="4CB53364"/>
    <w:rsid w:val="4F67053E"/>
    <w:rsid w:val="50755E86"/>
    <w:rsid w:val="55061C4E"/>
    <w:rsid w:val="551E343B"/>
    <w:rsid w:val="55A301A2"/>
    <w:rsid w:val="55F3441F"/>
    <w:rsid w:val="565E1C0E"/>
    <w:rsid w:val="583A6DF0"/>
    <w:rsid w:val="597D6618"/>
    <w:rsid w:val="59FA1774"/>
    <w:rsid w:val="5B437763"/>
    <w:rsid w:val="61B3532F"/>
    <w:rsid w:val="61D241B1"/>
    <w:rsid w:val="621E7323"/>
    <w:rsid w:val="65363117"/>
    <w:rsid w:val="655F3081"/>
    <w:rsid w:val="65953C66"/>
    <w:rsid w:val="65BB0D1C"/>
    <w:rsid w:val="68205BD5"/>
    <w:rsid w:val="6836345E"/>
    <w:rsid w:val="687E43FD"/>
    <w:rsid w:val="68D55F00"/>
    <w:rsid w:val="6A687BC9"/>
    <w:rsid w:val="6C445323"/>
    <w:rsid w:val="6E45789D"/>
    <w:rsid w:val="6EBD2EFF"/>
    <w:rsid w:val="6EE57E51"/>
    <w:rsid w:val="6F467FBD"/>
    <w:rsid w:val="70F12B1D"/>
    <w:rsid w:val="728955C9"/>
    <w:rsid w:val="7568080B"/>
    <w:rsid w:val="759A2B67"/>
    <w:rsid w:val="761A6F47"/>
    <w:rsid w:val="76730451"/>
    <w:rsid w:val="76CF68C4"/>
    <w:rsid w:val="773B29D8"/>
    <w:rsid w:val="77513C1C"/>
    <w:rsid w:val="787A0EA3"/>
    <w:rsid w:val="79D308C1"/>
    <w:rsid w:val="7D4C3FE6"/>
    <w:rsid w:val="7DF47B09"/>
    <w:rsid w:val="7E436418"/>
    <w:rsid w:val="7EBC55A7"/>
    <w:rsid w:val="7EF62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uiPriority w:val="99"/>
    <w:pPr>
      <w:jc w:val="left"/>
    </w:pPr>
  </w:style>
  <w:style w:type="paragraph" w:styleId="3">
    <w:name w:val="Balloon Text"/>
    <w:basedOn w:val="1"/>
    <w:link w:val="16"/>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uiPriority w:val="99"/>
    <w:rPr>
      <w:b/>
      <w:bCs/>
    </w:rPr>
  </w:style>
  <w:style w:type="character" w:styleId="9">
    <w:name w:val="annotation reference"/>
    <w:basedOn w:val="8"/>
    <w:semiHidden/>
    <w:unhideWhenUsed/>
    <w:uiPriority w:val="99"/>
    <w:rPr>
      <w:sz w:val="21"/>
      <w:szCs w:val="21"/>
    </w:rPr>
  </w:style>
  <w:style w:type="paragraph" w:customStyle="1" w:styleId="10">
    <w:name w:val="列项——（一级）"/>
    <w:uiPriority w:val="0"/>
    <w:pPr>
      <w:widowControl w:val="0"/>
      <w:ind w:left="833" w:hanging="408"/>
      <w:jc w:val="both"/>
    </w:pPr>
    <w:rPr>
      <w:rFonts w:ascii="宋体" w:hAnsi="Times New Roman" w:eastAsia="宋体" w:cs="Times New Roman"/>
      <w:sz w:val="21"/>
      <w:szCs w:val="22"/>
      <w:lang w:val="en-US" w:eastAsia="zh-CN" w:bidi="ar-SA"/>
    </w:rPr>
  </w:style>
  <w:style w:type="paragraph" w:customStyle="1" w:styleId="11">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12">
    <w:name w:val="页眉 Char"/>
    <w:basedOn w:val="8"/>
    <w:link w:val="5"/>
    <w:semiHidden/>
    <w:uiPriority w:val="99"/>
    <w:rPr>
      <w:kern w:val="2"/>
      <w:sz w:val="18"/>
      <w:szCs w:val="18"/>
    </w:rPr>
  </w:style>
  <w:style w:type="character" w:customStyle="1" w:styleId="13">
    <w:name w:val="页脚 Char"/>
    <w:basedOn w:val="8"/>
    <w:link w:val="4"/>
    <w:uiPriority w:val="99"/>
    <w:rPr>
      <w:kern w:val="2"/>
      <w:sz w:val="18"/>
      <w:szCs w:val="18"/>
    </w:rPr>
  </w:style>
  <w:style w:type="character" w:customStyle="1" w:styleId="14">
    <w:name w:val="批注文字 Char"/>
    <w:basedOn w:val="8"/>
    <w:link w:val="2"/>
    <w:semiHidden/>
    <w:uiPriority w:val="99"/>
    <w:rPr>
      <w:kern w:val="2"/>
      <w:sz w:val="21"/>
      <w:szCs w:val="21"/>
    </w:rPr>
  </w:style>
  <w:style w:type="character" w:customStyle="1" w:styleId="15">
    <w:name w:val="批注主题 Char"/>
    <w:basedOn w:val="14"/>
    <w:link w:val="6"/>
    <w:semiHidden/>
    <w:uiPriority w:val="99"/>
    <w:rPr>
      <w:b/>
      <w:bCs/>
    </w:rPr>
  </w:style>
  <w:style w:type="character" w:customStyle="1" w:styleId="16">
    <w:name w:val="批注框文本 Char"/>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1108</Words>
  <Characters>6320</Characters>
  <Lines>52</Lines>
  <Paragraphs>14</Paragraphs>
  <TotalTime>9</TotalTime>
  <ScaleCrop>false</ScaleCrop>
  <LinksUpToDate>false</LinksUpToDate>
  <CharactersWithSpaces>7414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2020-12-08T02:40:00Z</dcterms:created>
  <dc:creator>Administrator</dc:creator>
  <cp:lastModifiedBy>郭小喵</cp:lastModifiedBy>
  <dcterms:modified xsi:type="dcterms:W3CDTF">2020-12-21T05:22:18Z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